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FB" w:rsidRDefault="00343DFB" w:rsidP="00C3150D">
      <w:pPr>
        <w:jc w:val="right"/>
        <w:rPr>
          <w:b/>
        </w:rPr>
      </w:pPr>
    </w:p>
    <w:p w:rsidR="00343DFB" w:rsidRDefault="00343DFB" w:rsidP="00C3150D">
      <w:pPr>
        <w:jc w:val="right"/>
        <w:rPr>
          <w:b/>
        </w:rPr>
      </w:pPr>
    </w:p>
    <w:p w:rsidR="00343DFB" w:rsidRDefault="00343DFB" w:rsidP="00343DFB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FF0000"/>
          <w:sz w:val="22"/>
          <w:szCs w:val="22"/>
          <w:lang w:eastAsia="en-US"/>
        </w:rPr>
      </w:pPr>
    </w:p>
    <w:p w:rsidR="00343DFB" w:rsidRDefault="00343DFB" w:rsidP="00C3150D">
      <w:pPr>
        <w:jc w:val="right"/>
        <w:rPr>
          <w:b/>
        </w:rPr>
      </w:pPr>
    </w:p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B30246" w:rsidRPr="00324268" w:rsidRDefault="005134C3" w:rsidP="00B30246">
      <w:pPr>
        <w:jc w:val="center"/>
        <w:rPr>
          <w:b/>
        </w:rPr>
      </w:pPr>
      <w:r>
        <w:rPr>
          <w:rStyle w:val="a3"/>
          <w:b/>
          <w:sz w:val="20"/>
          <w:szCs w:val="20"/>
        </w:rPr>
        <w:t>н</w:t>
      </w:r>
      <w:r w:rsidR="00B30246" w:rsidRPr="00324268">
        <w:rPr>
          <w:rStyle w:val="a3"/>
          <w:b/>
          <w:sz w:val="20"/>
          <w:szCs w:val="20"/>
        </w:rPr>
        <w:t xml:space="preserve">а поставку </w:t>
      </w:r>
      <w:r w:rsidR="00B30246">
        <w:rPr>
          <w:b/>
        </w:rPr>
        <w:t>канцелярских товаров (3</w:t>
      </w:r>
      <w:r w:rsidR="00B30246" w:rsidRPr="00324268">
        <w:rPr>
          <w:b/>
        </w:rPr>
        <w:t>) на 2023 год</w:t>
      </w:r>
    </w:p>
    <w:p w:rsidR="00B30246" w:rsidRDefault="00B30246" w:rsidP="00B30246">
      <w:pPr>
        <w:ind w:firstLine="0"/>
        <w:rPr>
          <w:b/>
        </w:rPr>
      </w:pPr>
    </w:p>
    <w:p w:rsidR="00B30246" w:rsidRPr="00473592" w:rsidRDefault="00B30246" w:rsidP="00B30246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 </w:t>
      </w:r>
    </w:p>
    <w:p w:rsidR="00B30246" w:rsidRPr="00473592" w:rsidRDefault="00B30246" w:rsidP="00B30246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473592">
        <w:rPr>
          <w:sz w:val="22"/>
          <w:szCs w:val="22"/>
        </w:rPr>
        <w:t>ТР</w:t>
      </w:r>
      <w:proofErr w:type="gramEnd"/>
      <w:r w:rsidRPr="00473592">
        <w:rPr>
          <w:sz w:val="22"/>
          <w:szCs w:val="22"/>
        </w:rPr>
        <w:t xml:space="preserve"> ТС 005/2011 и обеспечивающей безопасность и сохранение потребительских свойств товара. </w:t>
      </w:r>
    </w:p>
    <w:p w:rsidR="00B30246" w:rsidRPr="00473592" w:rsidRDefault="00B30246" w:rsidP="00B30246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Маркировка упаковки каждого вида товара должна давать возможность четко идентифицировать разновидность товара. </w:t>
      </w:r>
    </w:p>
    <w:p w:rsidR="00B30246" w:rsidRPr="00DC702F" w:rsidRDefault="00B30246" w:rsidP="00B30246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473592">
        <w:rPr>
          <w:sz w:val="22"/>
          <w:szCs w:val="22"/>
        </w:rPr>
        <w:t>Поставщик предоставляет гарантии на товар на срок, не менее срока действия гарантии производителя.</w:t>
      </w:r>
    </w:p>
    <w:p w:rsidR="004C375B" w:rsidRDefault="004C375B" w:rsidP="000D5F87">
      <w:pPr>
        <w:autoSpaceDE w:val="0"/>
        <w:autoSpaceDN w:val="0"/>
        <w:adjustRightInd w:val="0"/>
        <w:ind w:firstLine="0"/>
        <w:jc w:val="both"/>
        <w:outlineLvl w:val="0"/>
        <w:rPr>
          <w:b/>
        </w:rPr>
      </w:pPr>
    </w:p>
    <w:tbl>
      <w:tblPr>
        <w:tblW w:w="1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850"/>
        <w:gridCol w:w="1134"/>
        <w:gridCol w:w="2268"/>
        <w:gridCol w:w="1985"/>
        <w:gridCol w:w="2268"/>
        <w:gridCol w:w="2127"/>
      </w:tblGrid>
      <w:tr w:rsidR="001779ED" w:rsidRPr="00301DBE" w:rsidTr="004E590A">
        <w:tc>
          <w:tcPr>
            <w:tcW w:w="567" w:type="dxa"/>
            <w:vMerge w:val="restart"/>
            <w:shd w:val="clear" w:color="auto" w:fill="auto"/>
          </w:tcPr>
          <w:p w:rsidR="001779ED" w:rsidRDefault="001779ED" w:rsidP="004E590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1779ED" w:rsidRPr="00301DBE" w:rsidRDefault="001779ED" w:rsidP="004E590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1779ED" w:rsidRPr="00301DBE" w:rsidRDefault="001779ED" w:rsidP="004E59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779ED" w:rsidRPr="00301DBE" w:rsidRDefault="001779ED" w:rsidP="004E590A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</w:t>
            </w:r>
            <w:proofErr w:type="gramStart"/>
            <w:r w:rsidRPr="00301DBE">
              <w:rPr>
                <w:sz w:val="18"/>
                <w:szCs w:val="18"/>
              </w:rPr>
              <w:t>2</w:t>
            </w:r>
            <w:proofErr w:type="gramEnd"/>
            <w:r w:rsidRPr="00301DBE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850" w:type="dxa"/>
            <w:vMerge w:val="restart"/>
          </w:tcPr>
          <w:p w:rsidR="001779ED" w:rsidRPr="00301DBE" w:rsidRDefault="001779ED" w:rsidP="004E590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1779ED" w:rsidRPr="00301DBE" w:rsidRDefault="001779ED" w:rsidP="004E590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4253" w:type="dxa"/>
            <w:gridSpan w:val="2"/>
          </w:tcPr>
          <w:p w:rsidR="001779ED" w:rsidRPr="00301DBE" w:rsidRDefault="001779ED" w:rsidP="004E590A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268" w:type="dxa"/>
            <w:vMerge w:val="restart"/>
          </w:tcPr>
          <w:p w:rsidR="001779ED" w:rsidRPr="00301DBE" w:rsidRDefault="001779ED" w:rsidP="004E590A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  <w:tc>
          <w:tcPr>
            <w:tcW w:w="2127" w:type="dxa"/>
            <w:vMerge w:val="restart"/>
          </w:tcPr>
          <w:p w:rsidR="001779ED" w:rsidRPr="00301DBE" w:rsidRDefault="001779ED" w:rsidP="004E590A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301DBE">
              <w:rPr>
                <w:rFonts w:eastAsia="BatangChe"/>
                <w:sz w:val="18"/>
                <w:szCs w:val="18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1779ED" w:rsidRPr="00301DBE" w:rsidTr="004E590A">
        <w:tc>
          <w:tcPr>
            <w:tcW w:w="567" w:type="dxa"/>
            <w:vMerge/>
            <w:shd w:val="clear" w:color="auto" w:fill="auto"/>
          </w:tcPr>
          <w:p w:rsidR="001779ED" w:rsidRDefault="001779ED" w:rsidP="004E59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9ED" w:rsidRDefault="001779ED" w:rsidP="004E590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779ED" w:rsidRPr="00301DBE" w:rsidRDefault="001779ED" w:rsidP="004E59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Default="001779ED" w:rsidP="004E590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590805" w:rsidRDefault="001779ED" w:rsidP="004E590A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1779ED" w:rsidRPr="00590805" w:rsidRDefault="001779ED" w:rsidP="004E590A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(показатели)</w:t>
            </w:r>
          </w:p>
        </w:tc>
        <w:tc>
          <w:tcPr>
            <w:tcW w:w="1985" w:type="dxa"/>
          </w:tcPr>
          <w:p w:rsidR="001779ED" w:rsidRPr="00301DBE" w:rsidRDefault="001779ED" w:rsidP="004E590A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268" w:type="dxa"/>
            <w:vMerge/>
          </w:tcPr>
          <w:p w:rsidR="001779ED" w:rsidRPr="00301DBE" w:rsidRDefault="001779ED" w:rsidP="004E590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Календарь перекидной</w:t>
            </w:r>
          </w:p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58.19.13.120 </w:t>
            </w:r>
          </w:p>
        </w:tc>
        <w:tc>
          <w:tcPr>
            <w:tcW w:w="850" w:type="dxa"/>
            <w:vMerge w:val="restart"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</w:t>
            </w:r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lastRenderedPageBreak/>
              <w:t>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lastRenderedPageBreak/>
              <w:t xml:space="preserve">Вид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 xml:space="preserve">Настольный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 xml:space="preserve">Год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  <w:rPr>
                <w:i/>
              </w:rPr>
            </w:pPr>
            <w:r w:rsidRPr="00A510C8">
              <w:t>20</w:t>
            </w:r>
            <w:r>
              <w:t xml:space="preserve">23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Размер блока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</w:pPr>
            <w:r>
              <w:t>100</w:t>
            </w:r>
            <w:r w:rsidRPr="00A510C8">
              <w:t xml:space="preserve"> х140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Материал блока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Офсетная бумага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Печать блока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2 краски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rPr>
                <w:shd w:val="clear" w:color="auto" w:fill="FFFFFF"/>
              </w:rPr>
              <w:t xml:space="preserve">Карандаш </w:t>
            </w:r>
            <w:proofErr w:type="spellStart"/>
            <w:r w:rsidRPr="00A510C8">
              <w:rPr>
                <w:shd w:val="clear" w:color="auto" w:fill="FFFFFF"/>
              </w:rPr>
              <w:t>чернографитны</w:t>
            </w:r>
            <w:r>
              <w:rPr>
                <w:shd w:val="clear" w:color="auto" w:fill="FFFFFF"/>
              </w:rPr>
              <w:t>й</w:t>
            </w:r>
            <w:proofErr w:type="spellEnd"/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rPr>
                <w:shd w:val="clear" w:color="auto" w:fill="FFFFFF"/>
              </w:rPr>
              <w:t>32.99.15.110 / 32.99.15.110-00000002</w:t>
            </w:r>
          </w:p>
        </w:tc>
        <w:tc>
          <w:tcPr>
            <w:tcW w:w="850" w:type="dxa"/>
            <w:vMerge w:val="restart"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Тип карандаша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ТМ (</w:t>
            </w:r>
            <w:proofErr w:type="spellStart"/>
            <w:r w:rsidRPr="00A510C8">
              <w:t>твердомягкий</w:t>
            </w:r>
            <w:proofErr w:type="spellEnd"/>
            <w:r w:rsidRPr="00A510C8">
              <w:t xml:space="preserve">)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Наличие заточенного стержня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Да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Наличие ластика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Да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  <w:r w:rsidRPr="00A510C8">
              <w:rPr>
                <w:sz w:val="20"/>
                <w:szCs w:val="20"/>
              </w:rPr>
              <w:t>Карандаш механический</w:t>
            </w:r>
          </w:p>
        </w:tc>
        <w:tc>
          <w:tcPr>
            <w:tcW w:w="1701" w:type="dxa"/>
          </w:tcPr>
          <w:p w:rsidR="001779ED" w:rsidRPr="00A510C8" w:rsidRDefault="001779ED" w:rsidP="004E590A">
            <w:pPr>
              <w:ind w:firstLine="0"/>
            </w:pPr>
            <w:r w:rsidRPr="00A510C8">
              <w:t>32.99.12.130/32.99.12.130-00000005</w:t>
            </w:r>
          </w:p>
        </w:tc>
        <w:tc>
          <w:tcPr>
            <w:tcW w:w="850" w:type="dxa"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  <w:r w:rsidRPr="00A510C8">
              <w:t>Штука</w:t>
            </w:r>
          </w:p>
        </w:tc>
        <w:tc>
          <w:tcPr>
            <w:tcW w:w="1134" w:type="dxa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Диаметр грифеля</w:t>
            </w:r>
            <w:r>
              <w:rPr>
                <w:shd w:val="clear" w:color="auto" w:fill="FFFFFF"/>
              </w:rP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autoSpaceDE w:val="0"/>
              <w:autoSpaceDN w:val="0"/>
              <w:adjustRightInd w:val="0"/>
              <w:ind w:firstLine="0"/>
            </w:pPr>
            <w:r w:rsidRPr="00A510C8">
              <w:t xml:space="preserve">≥ 0,5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  <w:r w:rsidRPr="00A510C8">
              <w:t xml:space="preserve"> 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color w:val="FF0000"/>
              </w:rPr>
            </w:pPr>
            <w:r w:rsidRPr="00A510C8">
              <w:t>Книга учета универсальная</w:t>
            </w:r>
            <w:r w:rsidRPr="00A510C8">
              <w:rPr>
                <w:color w:val="FF000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rPr>
                <w:shd w:val="clear" w:color="auto" w:fill="FFFFFF"/>
              </w:rPr>
              <w:t>17.23.13.120 / 17.23.13.120-00000001</w:t>
            </w:r>
          </w:p>
        </w:tc>
        <w:tc>
          <w:tcPr>
            <w:tcW w:w="850" w:type="dxa"/>
            <w:vMerge w:val="restart"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Ориентация страницы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Вертикальная</w:t>
            </w:r>
          </w:p>
          <w:p w:rsidR="001779ED" w:rsidRPr="00A510C8" w:rsidRDefault="001779ED" w:rsidP="004E590A">
            <w:pPr>
              <w:spacing w:before="16"/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Вид линовки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Линейка</w:t>
            </w:r>
          </w:p>
          <w:p w:rsidR="001779ED" w:rsidRPr="00A510C8" w:rsidRDefault="001779ED" w:rsidP="004E590A">
            <w:pPr>
              <w:spacing w:before="16"/>
              <w:jc w:val="both"/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неизменно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Default="001779ED" w:rsidP="004E590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Количество листов</w:t>
            </w:r>
            <w:r>
              <w:t xml:space="preserve"> </w:t>
            </w:r>
            <w:r w:rsidRPr="00A510C8">
              <w:t>(л)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 xml:space="preserve">≥ 96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  <w:r w:rsidRPr="00A510C8">
              <w:t xml:space="preserve"> 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Конверт почтовый бумажный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rPr>
                <w:shd w:val="clear" w:color="auto" w:fill="FFFFFF"/>
              </w:rPr>
              <w:t>17.23.12.110 / 17.23.12.110-00000002</w:t>
            </w:r>
          </w:p>
        </w:tc>
        <w:tc>
          <w:tcPr>
            <w:tcW w:w="850" w:type="dxa"/>
            <w:vMerge w:val="restart"/>
          </w:tcPr>
          <w:p w:rsidR="001779ED" w:rsidRPr="00A510C8" w:rsidRDefault="001779ED" w:rsidP="004E590A">
            <w:pPr>
              <w:ind w:firstLine="0"/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 xml:space="preserve">Количество товара в соответствии с приложением «Общее обоснование начальной </w:t>
            </w:r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lastRenderedPageBreak/>
              <w:t>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lastRenderedPageBreak/>
              <w:t>Высота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≥ 220  и  &lt; 250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  <w:r w:rsidRPr="00A510C8">
              <w:t xml:space="preserve">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A510C8" w:rsidRDefault="001779ED" w:rsidP="004E590A"/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Длина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≥ 320  и  &lt; 350 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A510C8" w:rsidRDefault="001779ED" w:rsidP="004E590A"/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Тип заклеивания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С клеем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Конверт почтовый бумажный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rPr>
                <w:shd w:val="clear" w:color="auto" w:fill="FFFFFF"/>
              </w:rPr>
              <w:t>17.23.12.110 / 17.23.12.110-00000002</w:t>
            </w: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Высота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≥ 160  и  &lt; 220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Длина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 xml:space="preserve">) </w:t>
            </w:r>
          </w:p>
          <w:p w:rsidR="001779ED" w:rsidRPr="00A510C8" w:rsidRDefault="001779ED" w:rsidP="004E590A">
            <w:pPr>
              <w:ind w:firstLine="0"/>
            </w:pP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≥ 220  и  &lt; 230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  <w:r w:rsidRPr="00A510C8">
              <w:t xml:space="preserve">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Тип заклеивания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С клеем 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Конверт почтовый бумажный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rPr>
                <w:shd w:val="clear" w:color="auto" w:fill="FFFFFF"/>
              </w:rPr>
              <w:t>17.23.12.110 / 17.23.12.110-00000002</w:t>
            </w: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Высота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≥ 110  и  &lt; 114 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Длина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≥ 220  и  &lt; 230 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Тип заклеивания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С клеем 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Маркер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32.99.12.120 / 32.99.12.120-00000002</w:t>
            </w: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Вид маркера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Перманентный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Форма наконечника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Круглая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Цвет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Черный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Универсальный цвет для письма на светлой поверхности</w:t>
            </w: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Маркер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32.99.12.120 / 32.99.12.120-00000005</w:t>
            </w: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</w:t>
            </w:r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lastRenderedPageBreak/>
              <w:t>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lastRenderedPageBreak/>
              <w:t>Вид маркера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Для досок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Форма наконечника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Круглая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Цвет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В ассортименте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</w:t>
            </w:r>
            <w:r w:rsidRPr="00A510C8">
              <w:lastRenderedPageBreak/>
              <w:t>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lastRenderedPageBreak/>
              <w:t xml:space="preserve">Для возможности </w:t>
            </w:r>
            <w:r>
              <w:rPr>
                <w:rFonts w:eastAsia="BatangChe"/>
                <w:sz w:val="18"/>
                <w:szCs w:val="18"/>
              </w:rPr>
              <w:lastRenderedPageBreak/>
              <w:t>записи информации различными цветами</w:t>
            </w: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Маркер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32.99.12.120 / 32.99.12.120-00000006</w:t>
            </w: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Вид маркера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proofErr w:type="spellStart"/>
            <w:r w:rsidRPr="00A510C8">
              <w:t>Текстовыделитель</w:t>
            </w:r>
            <w:proofErr w:type="spellEnd"/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Форма наконечника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Скошенная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Цвет 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В ассортименте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Для возможности записи информации различными цветами</w:t>
            </w: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Нитки швейные синтетические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13.10.85.110 /</w:t>
            </w:r>
          </w:p>
          <w:p w:rsidR="001779ED" w:rsidRPr="00A510C8" w:rsidRDefault="001779ED" w:rsidP="004E590A">
            <w:pPr>
              <w:spacing w:before="16"/>
              <w:ind w:firstLine="0"/>
            </w:pPr>
            <w:hyperlink r:id="rId7" w:tgtFrame="_blank" w:history="1">
              <w:r w:rsidRPr="001C2F05">
                <w:rPr>
                  <w:rStyle w:val="ab"/>
                  <w:color w:val="auto"/>
                </w:rPr>
                <w:t>13.10.85.110-00000001</w:t>
              </w:r>
            </w:hyperlink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Тип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Полиэфирные текстурированные </w:t>
            </w:r>
            <w:proofErr w:type="spellStart"/>
            <w:r w:rsidRPr="00A510C8">
              <w:t>нити</w:t>
            </w:r>
            <w:r>
              <w:t>ей</w:t>
            </w:r>
            <w:proofErr w:type="spellEnd"/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неизменно или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Длина намотки</w:t>
            </w:r>
            <w:r>
              <w:t xml:space="preserve"> </w:t>
            </w:r>
            <w:r w:rsidRPr="00A510C8">
              <w:t>(м)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≥ 1000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Назначение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spacing w:before="16"/>
              <w:ind w:firstLine="0"/>
            </w:pPr>
            <w:r w:rsidRPr="00A510C8">
              <w:t>для прошивки документов</w:t>
            </w:r>
          </w:p>
          <w:p w:rsidR="001779ED" w:rsidRPr="00A510C8" w:rsidRDefault="001779ED" w:rsidP="004E590A">
            <w:pPr>
              <w:spacing w:before="16"/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ind w:firstLine="0"/>
              <w:jc w:val="both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Для конкретизации использования нитей</w:t>
            </w: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Белый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ind w:firstLine="0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Для предотвращения излишнего выделения ниток при сшивании белой бумаги</w:t>
            </w: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Ручка канцелярская</w:t>
            </w:r>
          </w:p>
          <w:p w:rsidR="001779ED" w:rsidRPr="00A510C8" w:rsidRDefault="001779ED" w:rsidP="004E590A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32.99.12.110/ 32.99.12.110-00000002</w:t>
            </w:r>
          </w:p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Вид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Капиллярная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Ручка автоматическая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Нет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Возможность замены пишущего стержня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>
              <w:t>Да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 чернил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Черный 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Ручка канцелярская</w:t>
            </w:r>
          </w:p>
          <w:p w:rsidR="001779ED" w:rsidRPr="00A510C8" w:rsidRDefault="001779ED" w:rsidP="004E590A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lastRenderedPageBreak/>
              <w:t>32.99.12.110/ 32.99.12.110-</w:t>
            </w:r>
            <w:r w:rsidRPr="00A510C8">
              <w:rPr>
                <w:shd w:val="clear" w:color="auto" w:fill="FFFFFF"/>
              </w:rPr>
              <w:lastRenderedPageBreak/>
              <w:t>00000002</w:t>
            </w: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lastRenderedPageBreak/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 xml:space="preserve">Количество </w:t>
            </w:r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lastRenderedPageBreak/>
              <w:t>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lastRenderedPageBreak/>
              <w:t>Вид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Капиллярная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Ручка автоматическая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Нет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Возможность замены пишущего стержня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>
              <w:t>Да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 чернил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Синий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Ручка канцелярская</w:t>
            </w:r>
          </w:p>
          <w:p w:rsidR="001779ED" w:rsidRPr="00A510C8" w:rsidRDefault="001779ED" w:rsidP="004E590A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32.99.12.110 / 32.99.12.110-00000005</w:t>
            </w:r>
          </w:p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Вид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proofErr w:type="spellStart"/>
            <w:r w:rsidRPr="00A510C8">
              <w:t>Гелевая</w:t>
            </w:r>
            <w:proofErr w:type="spellEnd"/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Ручка автоматическая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Нет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Возможность замены пишущего стержня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>
              <w:t>Да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 чернил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Черный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неизменно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Ручка канцелярская</w:t>
            </w:r>
          </w:p>
          <w:p w:rsidR="001779ED" w:rsidRPr="00A510C8" w:rsidRDefault="001779ED" w:rsidP="004E590A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32.99.12.110 / 32.99.12.110-00000005</w:t>
            </w:r>
          </w:p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Вид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proofErr w:type="spellStart"/>
            <w:r w:rsidRPr="00A510C8">
              <w:t>Гелевая</w:t>
            </w:r>
            <w:proofErr w:type="spellEnd"/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Ручка автоматическая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Нет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Возможность замены пишущего стержня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Да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 чернил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Красный 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неизменно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Ручка канцелярская</w:t>
            </w:r>
          </w:p>
          <w:p w:rsidR="001779ED" w:rsidRPr="00A510C8" w:rsidRDefault="001779ED" w:rsidP="004E590A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32.99.12.110 / 32.99.12.110-00000005</w:t>
            </w:r>
          </w:p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</w:t>
            </w:r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lastRenderedPageBreak/>
              <w:t>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lastRenderedPageBreak/>
              <w:t>Вид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proofErr w:type="spellStart"/>
            <w:r w:rsidRPr="00A510C8">
              <w:t>Гелевая</w:t>
            </w:r>
            <w:proofErr w:type="spellEnd"/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Ручка автоматическая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Нет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Возможность замены пишущего стержня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Да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 чернил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Синий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неизменно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jc w:val="both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Ручка канцелярская</w:t>
            </w:r>
          </w:p>
          <w:p w:rsidR="001779ED" w:rsidRPr="00A510C8" w:rsidRDefault="001779ED" w:rsidP="004E590A">
            <w:pPr>
              <w:spacing w:before="16"/>
              <w:jc w:val="both"/>
            </w:pPr>
          </w:p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32.99.12.110 / 32.99.12.110-00000007</w:t>
            </w:r>
          </w:p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Вид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Шариковая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Ручка автоматическая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Нет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Возможность замены пишущего стержня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Да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 чернил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Красный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неизменно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jc w:val="both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Ручка канцелярская</w:t>
            </w:r>
          </w:p>
          <w:p w:rsidR="001779ED" w:rsidRPr="00A510C8" w:rsidRDefault="001779ED" w:rsidP="004E590A">
            <w:pPr>
              <w:spacing w:before="16"/>
              <w:jc w:val="both"/>
            </w:pPr>
          </w:p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spacing w:before="16"/>
              <w:ind w:firstLine="0"/>
              <w:rPr>
                <w:shd w:val="clear" w:color="auto" w:fill="FFFFFF"/>
              </w:rPr>
            </w:pPr>
            <w:r w:rsidRPr="00A510C8">
              <w:rPr>
                <w:shd w:val="clear" w:color="auto" w:fill="FFFFFF"/>
              </w:rPr>
              <w:t>32.99.12.110 / 32.99.12.110-00000007</w:t>
            </w:r>
          </w:p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1779ED" w:rsidRPr="00A510C8" w:rsidRDefault="001779ED" w:rsidP="004E590A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 w:rsidRPr="00A510C8"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Вид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Шариковая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Ручка автоматическая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Нет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Возможность замены пишущего стержня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Да</w:t>
            </w:r>
          </w:p>
          <w:p w:rsidR="001779ED" w:rsidRPr="00A510C8" w:rsidRDefault="001779ED" w:rsidP="004E590A"/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spacing w:before="16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</w:pPr>
            <w:r w:rsidRPr="00A510C8">
              <w:t>Цвет чернил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Синий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неизменно 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 w:val="restart"/>
          </w:tcPr>
          <w:p w:rsidR="001779ED" w:rsidRPr="00151B70" w:rsidRDefault="001779ED" w:rsidP="004E590A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  <w:r w:rsidRPr="00A510C8">
              <w:rPr>
                <w:sz w:val="20"/>
                <w:szCs w:val="20"/>
              </w:rPr>
              <w:t>Влажные салфетки для экранов</w:t>
            </w:r>
          </w:p>
        </w:tc>
        <w:tc>
          <w:tcPr>
            <w:tcW w:w="1701" w:type="dxa"/>
            <w:vMerge w:val="restart"/>
          </w:tcPr>
          <w:p w:rsidR="001779ED" w:rsidRPr="00A510C8" w:rsidRDefault="001779ED" w:rsidP="004E590A">
            <w:pPr>
              <w:ind w:firstLine="0"/>
              <w:rPr>
                <w:lang w:val="en-US"/>
              </w:rPr>
            </w:pPr>
            <w:r w:rsidRPr="00A510C8">
              <w:t>20.41.44.190</w:t>
            </w:r>
          </w:p>
        </w:tc>
        <w:tc>
          <w:tcPr>
            <w:tcW w:w="850" w:type="dxa"/>
            <w:vMerge w:val="restart"/>
          </w:tcPr>
          <w:p w:rsidR="001779ED" w:rsidRPr="009333E8" w:rsidRDefault="001779ED" w:rsidP="004E590A">
            <w:pPr>
              <w:ind w:firstLine="0"/>
              <w:rPr>
                <w:highlight w:val="yellow"/>
              </w:rPr>
            </w:pPr>
            <w:r>
              <w:t>Штука</w:t>
            </w:r>
          </w:p>
        </w:tc>
        <w:tc>
          <w:tcPr>
            <w:tcW w:w="1134" w:type="dxa"/>
            <w:vMerge w:val="restart"/>
          </w:tcPr>
          <w:p w:rsidR="001779ED" w:rsidRDefault="001779ED" w:rsidP="004E590A">
            <w:r w:rsidRPr="00D05A3A">
              <w:rPr>
                <w:i/>
                <w:color w:val="000000"/>
                <w:sz w:val="18"/>
                <w:szCs w:val="18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</w:pPr>
            <w:r w:rsidRPr="00A510C8">
              <w:t>Тип салфеток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>Влажные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Default="001779ED" w:rsidP="004E590A">
            <w:pPr>
              <w:ind w:firstLine="0"/>
              <w:jc w:val="both"/>
            </w:pPr>
            <w:proofErr w:type="gramStart"/>
            <w:r w:rsidRPr="00A510C8">
              <w:t>Предназначены для удаления пыли и загрязнений с экранов всех типов, пропитаны</w:t>
            </w:r>
            <w:r>
              <w:t xml:space="preserve"> специальной чистящей жидкостью.</w:t>
            </w:r>
            <w:proofErr w:type="gramEnd"/>
          </w:p>
          <w:p w:rsidR="001779ED" w:rsidRPr="00A510C8" w:rsidRDefault="001779ED" w:rsidP="004E590A">
            <w:pPr>
              <w:ind w:firstLine="0"/>
              <w:jc w:val="both"/>
            </w:pP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  <w:rPr>
                <w:lang w:val="en-US"/>
              </w:rPr>
            </w:pPr>
            <w:r w:rsidRPr="00A510C8">
              <w:t>Соответствие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</w:pPr>
            <w:r w:rsidRPr="00A510C8">
              <w:t>Количество в упаковке</w:t>
            </w:r>
            <w:r>
              <w:t xml:space="preserve"> </w:t>
            </w:r>
            <w:r w:rsidRPr="00A510C8">
              <w:t>(шт.)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Не менее 100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</w:pPr>
            <w:r w:rsidRPr="00A510C8">
              <w:t>Антистатический эффект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  <w:rPr>
                <w:lang w:val="en-US"/>
              </w:rPr>
            </w:pPr>
            <w:r w:rsidRPr="00A510C8">
              <w:t>Соответствие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</w:pPr>
            <w:r w:rsidRPr="00A510C8">
              <w:t>Длина салфетки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Не менее 170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</w:pPr>
            <w:r w:rsidRPr="00A510C8">
              <w:t>Ширина салфетки</w:t>
            </w:r>
            <w:r>
              <w:t xml:space="preserve"> </w:t>
            </w:r>
            <w:r w:rsidRPr="00A510C8">
              <w:t>(</w:t>
            </w:r>
            <w:proofErr w:type="gramStart"/>
            <w:r w:rsidRPr="00A510C8">
              <w:t>мм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t xml:space="preserve">Не менее 130 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</w:pPr>
            <w:r w:rsidRPr="00A510C8">
              <w:t>Материал салфетки: нетканы</w:t>
            </w:r>
            <w:r>
              <w:t xml:space="preserve">й материал на </w:t>
            </w:r>
            <w:r>
              <w:lastRenderedPageBreak/>
              <w:t>основе целлюлозы.</w:t>
            </w:r>
          </w:p>
        </w:tc>
        <w:tc>
          <w:tcPr>
            <w:tcW w:w="1985" w:type="dxa"/>
          </w:tcPr>
          <w:p w:rsidR="001779ED" w:rsidRPr="00A510C8" w:rsidRDefault="001779ED" w:rsidP="004E590A">
            <w:pPr>
              <w:ind w:firstLine="0"/>
            </w:pPr>
            <w:r w:rsidRPr="00A510C8">
              <w:lastRenderedPageBreak/>
              <w:t>Соответствие</w:t>
            </w:r>
          </w:p>
        </w:tc>
        <w:tc>
          <w:tcPr>
            <w:tcW w:w="2268" w:type="dxa"/>
          </w:tcPr>
          <w:p w:rsidR="001779ED" w:rsidRPr="00A510C8" w:rsidRDefault="001779ED" w:rsidP="004E590A">
            <w:pPr>
              <w:spacing w:before="16"/>
              <w:ind w:firstLine="0"/>
              <w:jc w:val="both"/>
            </w:pPr>
            <w:r w:rsidRPr="00A510C8">
              <w:t>Значение показателя указывается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1779ED" w:rsidRPr="00301DBE" w:rsidTr="004E590A">
        <w:tc>
          <w:tcPr>
            <w:tcW w:w="567" w:type="dxa"/>
            <w:vMerge/>
          </w:tcPr>
          <w:p w:rsidR="001779ED" w:rsidRPr="00151B70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79ED" w:rsidRPr="00A510C8" w:rsidRDefault="001779ED" w:rsidP="004E590A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9ED" w:rsidRPr="00A510C8" w:rsidRDefault="001779ED" w:rsidP="004E590A">
            <w:pPr>
              <w:jc w:val="center"/>
            </w:pPr>
          </w:p>
        </w:tc>
        <w:tc>
          <w:tcPr>
            <w:tcW w:w="850" w:type="dxa"/>
            <w:vMerge/>
          </w:tcPr>
          <w:p w:rsidR="001779ED" w:rsidRPr="009333E8" w:rsidRDefault="001779ED" w:rsidP="004E590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1779ED" w:rsidRPr="005A099A" w:rsidRDefault="001779ED" w:rsidP="004E590A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1779ED" w:rsidRPr="00A510C8" w:rsidRDefault="001779ED" w:rsidP="004E590A">
            <w:pPr>
              <w:ind w:firstLine="0"/>
              <w:jc w:val="both"/>
            </w:pPr>
            <w:r w:rsidRPr="00A510C8">
              <w:t>Плотность материала</w:t>
            </w:r>
            <w:r>
              <w:t xml:space="preserve"> </w:t>
            </w:r>
            <w:r w:rsidRPr="00A510C8">
              <w:t>(г/м</w:t>
            </w:r>
            <w:proofErr w:type="gramStart"/>
            <w:r w:rsidRPr="00A510C8">
              <w:t>2</w:t>
            </w:r>
            <w:proofErr w:type="gramEnd"/>
            <w:r w:rsidRPr="00A510C8">
              <w:t>)</w:t>
            </w:r>
          </w:p>
        </w:tc>
        <w:tc>
          <w:tcPr>
            <w:tcW w:w="1985" w:type="dxa"/>
          </w:tcPr>
          <w:p w:rsidR="001779ED" w:rsidRPr="009E63FE" w:rsidRDefault="001779ED" w:rsidP="004E590A">
            <w:pPr>
              <w:ind w:firstLine="0"/>
            </w:pPr>
            <w:r w:rsidRPr="00A510C8">
              <w:t xml:space="preserve">Не менее 35 </w:t>
            </w:r>
          </w:p>
        </w:tc>
        <w:tc>
          <w:tcPr>
            <w:tcW w:w="2268" w:type="dxa"/>
          </w:tcPr>
          <w:p w:rsidR="001779ED" w:rsidRPr="004D0C39" w:rsidRDefault="001779ED" w:rsidP="004E590A">
            <w:pPr>
              <w:spacing w:before="16"/>
              <w:ind w:firstLine="0"/>
              <w:jc w:val="both"/>
            </w:pPr>
            <w:r w:rsidRPr="00A510C8">
              <w:t xml:space="preserve">Значение показателя указывается </w:t>
            </w:r>
            <w:r>
              <w:t>конкретно или неизменно</w:t>
            </w:r>
          </w:p>
        </w:tc>
        <w:tc>
          <w:tcPr>
            <w:tcW w:w="2127" w:type="dxa"/>
          </w:tcPr>
          <w:p w:rsidR="001779ED" w:rsidRPr="00301DBE" w:rsidRDefault="001779ED" w:rsidP="004E590A">
            <w:pPr>
              <w:rPr>
                <w:rFonts w:eastAsia="BatangChe"/>
                <w:sz w:val="18"/>
                <w:szCs w:val="18"/>
              </w:rPr>
            </w:pPr>
          </w:p>
        </w:tc>
      </w:tr>
    </w:tbl>
    <w:p w:rsidR="004C375B" w:rsidRPr="00D84ECC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  <w:bookmarkStart w:id="0" w:name="_GoBack"/>
      <w:bookmarkEnd w:id="0"/>
    </w:p>
    <w:p w:rsidR="005F2BDF" w:rsidRPr="00516538" w:rsidRDefault="005F2BDF" w:rsidP="000D5F87">
      <w:pPr>
        <w:ind w:firstLine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852945" w:rsidRPr="00516538" w:rsidRDefault="00294BE9" w:rsidP="00A8556B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516538">
        <w:rPr>
          <w:rFonts w:eastAsia="Calibri"/>
          <w:bCs/>
          <w:sz w:val="22"/>
          <w:szCs w:val="22"/>
          <w:lang w:eastAsia="en-US"/>
        </w:rPr>
        <w:t xml:space="preserve">Поставка товара осуществляется в целых упаковках. При этом если количество товара поставляемого заказчику в упаковке превышает количество товара, указанного в </w:t>
      </w:r>
      <w:r w:rsidR="000D5F87" w:rsidRPr="00516538">
        <w:rPr>
          <w:rFonts w:eastAsia="Calibri"/>
          <w:bCs/>
          <w:sz w:val="22"/>
          <w:szCs w:val="22"/>
          <w:lang w:eastAsia="en-US"/>
        </w:rPr>
        <w:t xml:space="preserve"> соответствии с приложением «Общее обоснование начальной (максимальной) цены контрактов»</w:t>
      </w:r>
      <w:r w:rsidRPr="00516538">
        <w:rPr>
          <w:rFonts w:eastAsia="Calibri"/>
          <w:bCs/>
          <w:sz w:val="22"/>
          <w:szCs w:val="22"/>
          <w:lang w:eastAsia="en-US"/>
        </w:rPr>
        <w:t>, поставка зак</w:t>
      </w:r>
      <w:r w:rsidR="000D5F87" w:rsidRPr="00516538">
        <w:rPr>
          <w:rFonts w:eastAsia="Calibri"/>
          <w:bCs/>
          <w:sz w:val="22"/>
          <w:szCs w:val="22"/>
          <w:lang w:eastAsia="en-US"/>
        </w:rPr>
        <w:t>азчику товара сверх количества</w:t>
      </w:r>
      <w:r w:rsidRPr="00516538">
        <w:rPr>
          <w:rFonts w:eastAsia="Calibri"/>
          <w:bCs/>
          <w:sz w:val="22"/>
          <w:szCs w:val="22"/>
          <w:lang w:eastAsia="en-US"/>
        </w:rPr>
        <w:t>, осуществляется за счет средств поставщика.</w:t>
      </w:r>
    </w:p>
    <w:p w:rsidR="00A715AF" w:rsidRPr="00046D6F" w:rsidRDefault="00A715AF" w:rsidP="00287B79">
      <w:pPr>
        <w:pStyle w:val="aa"/>
        <w:ind w:firstLine="0"/>
        <w:rPr>
          <w:bCs/>
          <w:sz w:val="24"/>
          <w:szCs w:val="24"/>
        </w:rPr>
      </w:pPr>
    </w:p>
    <w:p w:rsidR="000E0669" w:rsidRPr="00E02257" w:rsidRDefault="000E0669" w:rsidP="00287B79">
      <w:pPr>
        <w:pStyle w:val="aa"/>
        <w:ind w:firstLine="0"/>
        <w:rPr>
          <w:bCs/>
          <w:sz w:val="22"/>
          <w:szCs w:val="22"/>
        </w:rPr>
      </w:pPr>
    </w:p>
    <w:p w:rsidR="00E5297A" w:rsidRDefault="00E5297A" w:rsidP="00E5297A">
      <w:pPr>
        <w:widowControl/>
        <w:shd w:val="clear" w:color="auto" w:fill="FFFFFF"/>
        <w:snapToGrid/>
        <w:ind w:firstLine="0"/>
        <w:rPr>
          <w:b/>
        </w:rPr>
      </w:pPr>
      <w:r w:rsidRPr="004A5D8E">
        <w:rPr>
          <w:b/>
        </w:rPr>
        <w:t>Документ подписан в составе заявки на закупку в РИСБО, руководитель заказчика</w:t>
      </w:r>
    </w:p>
    <w:p w:rsidR="00230006" w:rsidRDefault="00230006" w:rsidP="00A63210">
      <w:pPr>
        <w:pStyle w:val="aa"/>
        <w:ind w:firstLine="0"/>
        <w:jc w:val="both"/>
        <w:rPr>
          <w:bCs/>
          <w:sz w:val="22"/>
          <w:szCs w:val="22"/>
        </w:rPr>
      </w:pPr>
    </w:p>
    <w:p w:rsidR="00282D8A" w:rsidRDefault="00282D8A" w:rsidP="00E75502">
      <w:pPr>
        <w:ind w:firstLine="0"/>
        <w:jc w:val="both"/>
        <w:rPr>
          <w:sz w:val="22"/>
          <w:szCs w:val="22"/>
        </w:rPr>
      </w:pPr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</w:p>
    <w:sectPr w:rsidR="00282D8A" w:rsidRPr="00556D0A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236D"/>
    <w:rsid w:val="000124C1"/>
    <w:rsid w:val="00014AE8"/>
    <w:rsid w:val="00016620"/>
    <w:rsid w:val="00016BCC"/>
    <w:rsid w:val="00030B8D"/>
    <w:rsid w:val="0003414D"/>
    <w:rsid w:val="0004547E"/>
    <w:rsid w:val="00046326"/>
    <w:rsid w:val="00046756"/>
    <w:rsid w:val="00046D6F"/>
    <w:rsid w:val="00052AC3"/>
    <w:rsid w:val="00054CAD"/>
    <w:rsid w:val="00074B01"/>
    <w:rsid w:val="00075B45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4996"/>
    <w:rsid w:val="000C69BA"/>
    <w:rsid w:val="000C7756"/>
    <w:rsid w:val="000D1475"/>
    <w:rsid w:val="000D2B7D"/>
    <w:rsid w:val="000D5F87"/>
    <w:rsid w:val="000E0669"/>
    <w:rsid w:val="000E1CF0"/>
    <w:rsid w:val="000E6900"/>
    <w:rsid w:val="000F1FE5"/>
    <w:rsid w:val="001036D4"/>
    <w:rsid w:val="00105AC6"/>
    <w:rsid w:val="00121442"/>
    <w:rsid w:val="00122A9F"/>
    <w:rsid w:val="001344EA"/>
    <w:rsid w:val="001357D3"/>
    <w:rsid w:val="00136DE7"/>
    <w:rsid w:val="0014690C"/>
    <w:rsid w:val="00147D53"/>
    <w:rsid w:val="00152736"/>
    <w:rsid w:val="001549D9"/>
    <w:rsid w:val="00155331"/>
    <w:rsid w:val="00161A08"/>
    <w:rsid w:val="00166CAE"/>
    <w:rsid w:val="001707E2"/>
    <w:rsid w:val="00172391"/>
    <w:rsid w:val="001779ED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2F05"/>
    <w:rsid w:val="001C3529"/>
    <w:rsid w:val="001D4A16"/>
    <w:rsid w:val="001D5526"/>
    <w:rsid w:val="001D6E13"/>
    <w:rsid w:val="001E4B94"/>
    <w:rsid w:val="001E593A"/>
    <w:rsid w:val="001E5ED1"/>
    <w:rsid w:val="001E669B"/>
    <w:rsid w:val="001F56B6"/>
    <w:rsid w:val="001F6E07"/>
    <w:rsid w:val="0020343A"/>
    <w:rsid w:val="00203DFD"/>
    <w:rsid w:val="0021259C"/>
    <w:rsid w:val="002142A7"/>
    <w:rsid w:val="00224318"/>
    <w:rsid w:val="00230006"/>
    <w:rsid w:val="002371F7"/>
    <w:rsid w:val="002414EE"/>
    <w:rsid w:val="00250AF1"/>
    <w:rsid w:val="002552FA"/>
    <w:rsid w:val="00256FDA"/>
    <w:rsid w:val="0026129A"/>
    <w:rsid w:val="00263D21"/>
    <w:rsid w:val="002741A4"/>
    <w:rsid w:val="00274232"/>
    <w:rsid w:val="002744E4"/>
    <w:rsid w:val="00282D8A"/>
    <w:rsid w:val="00286685"/>
    <w:rsid w:val="00287746"/>
    <w:rsid w:val="00287B79"/>
    <w:rsid w:val="00292D40"/>
    <w:rsid w:val="0029305F"/>
    <w:rsid w:val="00294BE9"/>
    <w:rsid w:val="002A0217"/>
    <w:rsid w:val="002A7EAB"/>
    <w:rsid w:val="002B2281"/>
    <w:rsid w:val="002B2748"/>
    <w:rsid w:val="002B2EE2"/>
    <w:rsid w:val="002B3411"/>
    <w:rsid w:val="002B5A16"/>
    <w:rsid w:val="002C5552"/>
    <w:rsid w:val="002D67F3"/>
    <w:rsid w:val="002E1957"/>
    <w:rsid w:val="002E2DE2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3DFB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80212"/>
    <w:rsid w:val="003827E7"/>
    <w:rsid w:val="00383BF1"/>
    <w:rsid w:val="003842E6"/>
    <w:rsid w:val="003907DD"/>
    <w:rsid w:val="003A247E"/>
    <w:rsid w:val="003B0408"/>
    <w:rsid w:val="003B22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6D22"/>
    <w:rsid w:val="003F52D1"/>
    <w:rsid w:val="003F79BA"/>
    <w:rsid w:val="004043D5"/>
    <w:rsid w:val="0040498B"/>
    <w:rsid w:val="0040671E"/>
    <w:rsid w:val="00410655"/>
    <w:rsid w:val="0041154A"/>
    <w:rsid w:val="004124F7"/>
    <w:rsid w:val="00422BBD"/>
    <w:rsid w:val="00424338"/>
    <w:rsid w:val="00425E46"/>
    <w:rsid w:val="00443418"/>
    <w:rsid w:val="00451154"/>
    <w:rsid w:val="0045501A"/>
    <w:rsid w:val="00474C66"/>
    <w:rsid w:val="00476FFC"/>
    <w:rsid w:val="004810D4"/>
    <w:rsid w:val="004839A9"/>
    <w:rsid w:val="004868AB"/>
    <w:rsid w:val="004907D4"/>
    <w:rsid w:val="004A2005"/>
    <w:rsid w:val="004A4338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5AD8"/>
    <w:rsid w:val="004F0BA5"/>
    <w:rsid w:val="005045A2"/>
    <w:rsid w:val="00506397"/>
    <w:rsid w:val="005134C3"/>
    <w:rsid w:val="00514E93"/>
    <w:rsid w:val="00516538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B30"/>
    <w:rsid w:val="00564697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C3A42"/>
    <w:rsid w:val="005C6D7C"/>
    <w:rsid w:val="005D6882"/>
    <w:rsid w:val="005E5E0F"/>
    <w:rsid w:val="005E6185"/>
    <w:rsid w:val="005F0FA2"/>
    <w:rsid w:val="005F2BDF"/>
    <w:rsid w:val="005F2C1E"/>
    <w:rsid w:val="006008AC"/>
    <w:rsid w:val="006028A7"/>
    <w:rsid w:val="0060312E"/>
    <w:rsid w:val="006109C0"/>
    <w:rsid w:val="006166C5"/>
    <w:rsid w:val="00630075"/>
    <w:rsid w:val="00630168"/>
    <w:rsid w:val="006309A0"/>
    <w:rsid w:val="00633163"/>
    <w:rsid w:val="006354D6"/>
    <w:rsid w:val="006458D4"/>
    <w:rsid w:val="00647D7A"/>
    <w:rsid w:val="0065112D"/>
    <w:rsid w:val="00652589"/>
    <w:rsid w:val="006550F5"/>
    <w:rsid w:val="006632C0"/>
    <w:rsid w:val="00667D66"/>
    <w:rsid w:val="00674FD7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D5E06"/>
    <w:rsid w:val="006E469E"/>
    <w:rsid w:val="006F08AD"/>
    <w:rsid w:val="006F34CA"/>
    <w:rsid w:val="006F620B"/>
    <w:rsid w:val="006F6432"/>
    <w:rsid w:val="00701764"/>
    <w:rsid w:val="007170C5"/>
    <w:rsid w:val="00722A54"/>
    <w:rsid w:val="00725F7D"/>
    <w:rsid w:val="0072765F"/>
    <w:rsid w:val="0073417F"/>
    <w:rsid w:val="007434A7"/>
    <w:rsid w:val="00745303"/>
    <w:rsid w:val="00752D63"/>
    <w:rsid w:val="00755C7C"/>
    <w:rsid w:val="0076133F"/>
    <w:rsid w:val="00761D1C"/>
    <w:rsid w:val="00771434"/>
    <w:rsid w:val="007727C3"/>
    <w:rsid w:val="0077290E"/>
    <w:rsid w:val="00772F1C"/>
    <w:rsid w:val="007804E3"/>
    <w:rsid w:val="0078209D"/>
    <w:rsid w:val="00783357"/>
    <w:rsid w:val="00784E4F"/>
    <w:rsid w:val="007910D5"/>
    <w:rsid w:val="00793573"/>
    <w:rsid w:val="00793AF6"/>
    <w:rsid w:val="007B61BF"/>
    <w:rsid w:val="007B775E"/>
    <w:rsid w:val="007B7D8B"/>
    <w:rsid w:val="007C2542"/>
    <w:rsid w:val="007C5B58"/>
    <w:rsid w:val="007D0E1F"/>
    <w:rsid w:val="007D49A3"/>
    <w:rsid w:val="007E0F48"/>
    <w:rsid w:val="007E6D9B"/>
    <w:rsid w:val="007F19A7"/>
    <w:rsid w:val="007F3C48"/>
    <w:rsid w:val="0080131D"/>
    <w:rsid w:val="008069A3"/>
    <w:rsid w:val="00810F6A"/>
    <w:rsid w:val="008118FD"/>
    <w:rsid w:val="00811CB2"/>
    <w:rsid w:val="00812074"/>
    <w:rsid w:val="00813D4F"/>
    <w:rsid w:val="00815955"/>
    <w:rsid w:val="00833A63"/>
    <w:rsid w:val="0083554A"/>
    <w:rsid w:val="00835A4D"/>
    <w:rsid w:val="00846975"/>
    <w:rsid w:val="00852945"/>
    <w:rsid w:val="008711EA"/>
    <w:rsid w:val="008711F4"/>
    <w:rsid w:val="00874C76"/>
    <w:rsid w:val="00877055"/>
    <w:rsid w:val="0088535D"/>
    <w:rsid w:val="0089405D"/>
    <w:rsid w:val="00895C52"/>
    <w:rsid w:val="00895F42"/>
    <w:rsid w:val="008963E4"/>
    <w:rsid w:val="008A1B6F"/>
    <w:rsid w:val="008A3E9E"/>
    <w:rsid w:val="008B54AD"/>
    <w:rsid w:val="008B7022"/>
    <w:rsid w:val="008C456E"/>
    <w:rsid w:val="008C49A7"/>
    <w:rsid w:val="008C6AB2"/>
    <w:rsid w:val="008D072B"/>
    <w:rsid w:val="008D1B3E"/>
    <w:rsid w:val="008D54DA"/>
    <w:rsid w:val="008E422A"/>
    <w:rsid w:val="008E465E"/>
    <w:rsid w:val="008F1F55"/>
    <w:rsid w:val="008F583E"/>
    <w:rsid w:val="008F58A6"/>
    <w:rsid w:val="008F6A41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53E91"/>
    <w:rsid w:val="00961E56"/>
    <w:rsid w:val="00963F8F"/>
    <w:rsid w:val="009644B4"/>
    <w:rsid w:val="00965112"/>
    <w:rsid w:val="00973F5B"/>
    <w:rsid w:val="00984196"/>
    <w:rsid w:val="00985C54"/>
    <w:rsid w:val="00993E98"/>
    <w:rsid w:val="009951D3"/>
    <w:rsid w:val="009B1C53"/>
    <w:rsid w:val="009B6966"/>
    <w:rsid w:val="009C7461"/>
    <w:rsid w:val="009D0717"/>
    <w:rsid w:val="009D634E"/>
    <w:rsid w:val="009E0B16"/>
    <w:rsid w:val="009E75FD"/>
    <w:rsid w:val="009E7803"/>
    <w:rsid w:val="009F1EC0"/>
    <w:rsid w:val="009F5840"/>
    <w:rsid w:val="00A02EC4"/>
    <w:rsid w:val="00A07387"/>
    <w:rsid w:val="00A10173"/>
    <w:rsid w:val="00A115D8"/>
    <w:rsid w:val="00A14DA8"/>
    <w:rsid w:val="00A2641C"/>
    <w:rsid w:val="00A31C98"/>
    <w:rsid w:val="00A33065"/>
    <w:rsid w:val="00A35618"/>
    <w:rsid w:val="00A3723C"/>
    <w:rsid w:val="00A37D97"/>
    <w:rsid w:val="00A40379"/>
    <w:rsid w:val="00A41CA1"/>
    <w:rsid w:val="00A45023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77F6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27EA7"/>
    <w:rsid w:val="00B30246"/>
    <w:rsid w:val="00B322C0"/>
    <w:rsid w:val="00B34852"/>
    <w:rsid w:val="00B37BFC"/>
    <w:rsid w:val="00B46F67"/>
    <w:rsid w:val="00B50E84"/>
    <w:rsid w:val="00B52867"/>
    <w:rsid w:val="00B52F59"/>
    <w:rsid w:val="00B61764"/>
    <w:rsid w:val="00B643FF"/>
    <w:rsid w:val="00B66CBD"/>
    <w:rsid w:val="00B719DD"/>
    <w:rsid w:val="00B75669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D4508"/>
    <w:rsid w:val="00BD6859"/>
    <w:rsid w:val="00BE3016"/>
    <w:rsid w:val="00BF401A"/>
    <w:rsid w:val="00BF50A0"/>
    <w:rsid w:val="00C00D0A"/>
    <w:rsid w:val="00C05868"/>
    <w:rsid w:val="00C06689"/>
    <w:rsid w:val="00C10AB1"/>
    <w:rsid w:val="00C1663C"/>
    <w:rsid w:val="00C16716"/>
    <w:rsid w:val="00C2262E"/>
    <w:rsid w:val="00C31039"/>
    <w:rsid w:val="00C3150D"/>
    <w:rsid w:val="00C31ECB"/>
    <w:rsid w:val="00C3334B"/>
    <w:rsid w:val="00C34E3B"/>
    <w:rsid w:val="00C3666F"/>
    <w:rsid w:val="00C3679F"/>
    <w:rsid w:val="00C37BEC"/>
    <w:rsid w:val="00C43CE2"/>
    <w:rsid w:val="00C43E65"/>
    <w:rsid w:val="00C54788"/>
    <w:rsid w:val="00C60159"/>
    <w:rsid w:val="00C65D10"/>
    <w:rsid w:val="00C66CC9"/>
    <w:rsid w:val="00C67F7E"/>
    <w:rsid w:val="00C746A9"/>
    <w:rsid w:val="00C82DAE"/>
    <w:rsid w:val="00C9390C"/>
    <w:rsid w:val="00C9533B"/>
    <w:rsid w:val="00CA5E42"/>
    <w:rsid w:val="00CA61E2"/>
    <w:rsid w:val="00CC0E8A"/>
    <w:rsid w:val="00CC48F6"/>
    <w:rsid w:val="00CC68C4"/>
    <w:rsid w:val="00CD40C3"/>
    <w:rsid w:val="00CD44B1"/>
    <w:rsid w:val="00CE17E9"/>
    <w:rsid w:val="00CE25BF"/>
    <w:rsid w:val="00CE27FD"/>
    <w:rsid w:val="00CE574F"/>
    <w:rsid w:val="00CF01F2"/>
    <w:rsid w:val="00CF039A"/>
    <w:rsid w:val="00D001A3"/>
    <w:rsid w:val="00D02A37"/>
    <w:rsid w:val="00D052C1"/>
    <w:rsid w:val="00D05AEB"/>
    <w:rsid w:val="00D07A5E"/>
    <w:rsid w:val="00D14FFA"/>
    <w:rsid w:val="00D21319"/>
    <w:rsid w:val="00D37DB7"/>
    <w:rsid w:val="00D527F9"/>
    <w:rsid w:val="00D60E7E"/>
    <w:rsid w:val="00D6605C"/>
    <w:rsid w:val="00D67385"/>
    <w:rsid w:val="00D67C61"/>
    <w:rsid w:val="00D716DD"/>
    <w:rsid w:val="00D72AA7"/>
    <w:rsid w:val="00D84ECC"/>
    <w:rsid w:val="00D85C5E"/>
    <w:rsid w:val="00D917D2"/>
    <w:rsid w:val="00D96243"/>
    <w:rsid w:val="00D96F21"/>
    <w:rsid w:val="00D9783B"/>
    <w:rsid w:val="00DA0A8D"/>
    <w:rsid w:val="00DA29C6"/>
    <w:rsid w:val="00DA3F83"/>
    <w:rsid w:val="00DA5F1B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AE0"/>
    <w:rsid w:val="00DF0158"/>
    <w:rsid w:val="00DF4F2A"/>
    <w:rsid w:val="00DF5A4B"/>
    <w:rsid w:val="00E02B7B"/>
    <w:rsid w:val="00E04A5C"/>
    <w:rsid w:val="00E11183"/>
    <w:rsid w:val="00E13BA3"/>
    <w:rsid w:val="00E20299"/>
    <w:rsid w:val="00E2371E"/>
    <w:rsid w:val="00E27EFE"/>
    <w:rsid w:val="00E33130"/>
    <w:rsid w:val="00E351E5"/>
    <w:rsid w:val="00E37B1F"/>
    <w:rsid w:val="00E4404F"/>
    <w:rsid w:val="00E453BF"/>
    <w:rsid w:val="00E47163"/>
    <w:rsid w:val="00E507FA"/>
    <w:rsid w:val="00E50908"/>
    <w:rsid w:val="00E5297A"/>
    <w:rsid w:val="00E61AA1"/>
    <w:rsid w:val="00E623F3"/>
    <w:rsid w:val="00E71714"/>
    <w:rsid w:val="00E75502"/>
    <w:rsid w:val="00E76AEF"/>
    <w:rsid w:val="00E81F1A"/>
    <w:rsid w:val="00E845CC"/>
    <w:rsid w:val="00E8494B"/>
    <w:rsid w:val="00EA66C8"/>
    <w:rsid w:val="00EB0846"/>
    <w:rsid w:val="00EB1120"/>
    <w:rsid w:val="00EB359D"/>
    <w:rsid w:val="00EB6EBC"/>
    <w:rsid w:val="00EC0245"/>
    <w:rsid w:val="00EC2A06"/>
    <w:rsid w:val="00EC3E83"/>
    <w:rsid w:val="00EC4078"/>
    <w:rsid w:val="00ED450E"/>
    <w:rsid w:val="00ED7B98"/>
    <w:rsid w:val="00EE4506"/>
    <w:rsid w:val="00EE571A"/>
    <w:rsid w:val="00EE72A5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596B"/>
    <w:rsid w:val="00F96DFB"/>
    <w:rsid w:val="00FA2E28"/>
    <w:rsid w:val="00FB154B"/>
    <w:rsid w:val="00FB2C00"/>
    <w:rsid w:val="00FB3511"/>
    <w:rsid w:val="00FC4636"/>
    <w:rsid w:val="00FC67E3"/>
    <w:rsid w:val="00FD6041"/>
    <w:rsid w:val="00FE12A5"/>
    <w:rsid w:val="00FE2850"/>
    <w:rsid w:val="00FE2864"/>
    <w:rsid w:val="00FE3931"/>
    <w:rsid w:val="00FF21AF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ktruCard/ktru-description.html?itemId=798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212F-9A93-4FCC-BC7A-760EDBE4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17</cp:revision>
  <cp:lastPrinted>2022-07-22T15:05:00Z</cp:lastPrinted>
  <dcterms:created xsi:type="dcterms:W3CDTF">2022-06-02T12:58:00Z</dcterms:created>
  <dcterms:modified xsi:type="dcterms:W3CDTF">2022-07-22T15:10:00Z</dcterms:modified>
</cp:coreProperties>
</file>