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B7" w:rsidRDefault="00267EB7" w:rsidP="00DD632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ИНФОРМАЦИОННОЕ СООБЩЕНИЕ</w:t>
      </w:r>
    </w:p>
    <w:p w:rsidR="00DD6321" w:rsidRDefault="00DD6321" w:rsidP="00DD632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Ошибки, допущенные заказчиками при обосновании </w:t>
      </w:r>
    </w:p>
    <w:p w:rsidR="00ED7FA4" w:rsidRDefault="00DD6321" w:rsidP="00DD632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начальной (максимальной) цены контракта</w:t>
      </w:r>
    </w:p>
    <w:p w:rsidR="00DD6321" w:rsidRPr="00A65D93" w:rsidRDefault="00DD6321" w:rsidP="0052511E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D6321" w:rsidRPr="00DD6321" w:rsidRDefault="00DD6321" w:rsidP="00DD632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Органы внутреннего государственного (муниципального) финансового контроля осуществляют контроль в отношении: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соблюдения правил нормирования в сфере закупок, установленных 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системе, Закон № 44-ФЗ);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DD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определения и обоснования начальной (максимальной) цены контракта</w:t>
      </w:r>
      <w:r w:rsidR="00D36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(НМЦК)</w:t>
      </w:r>
      <w:r w:rsidRPr="00DD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DD6321" w:rsidRPr="00DD6321" w:rsidRDefault="00DD6321" w:rsidP="00DD63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соблюдения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части 9 статьи 99 Закона о контрактной системе внутренний финансовый контроль осуществляется: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федеральным органом исполнительной власти, осуществляющим функции по контролю и надзору в финансово-бюджетной сфере, в отношении закупок для обеспечения федеральных нужд – Федеральное Казначейство;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нужд субъекта Российской Федерации;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органом муниципального финансового контроля, являющимся органом (должностными лицами) местной администрации, в отношении закупок для обеспечения муниципальных нужд.</w:t>
      </w:r>
    </w:p>
    <w:p w:rsidR="00DD6321" w:rsidRPr="00DD6321" w:rsidRDefault="00DD6321" w:rsidP="00DD632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Таким образом, полномочия по контролю, предусмотренные частью 8 статьи 99 Закона № 44-ФЗ, в соответствии с частью 9 статьи 99 Закона № 44-ФЗ, осуществляются органом внутреннего государственного финансового контроля федерального, регионального, муниципального уровня в отношении соответствующей нужды (федеральная, региональная, муниципальная).</w:t>
      </w:r>
    </w:p>
    <w:p w:rsidR="00DB71F5" w:rsidRDefault="00DD6321" w:rsidP="00DD632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обоснования начальной (максимальной) цены контракта,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контракта, заключаемого с единственным поставщиком (подрядчиком, исполнителем), начальн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цен единиц товара, работы, услуги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регулируется нормами с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Закона о контрактной системе, п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риказ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Минэкономразвития России от 02.10.2013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567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DD6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 (подрядчиком, исполнителем)»</w:t>
      </w:r>
      <w:r w:rsid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Методические рекомендации)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B71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DB71F5" w:rsidRDefault="00DB71F5" w:rsidP="00DB71F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7.29.3. «</w:t>
      </w:r>
      <w:r w:rsidRPr="00DB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B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B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30.12.2001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DB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195-ФЗ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КоАП РФ)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B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есоблюдение порядка или формы обоснования начальной (максимальной) цены контракта, обоснования объекта закупки (за исключе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нием описания объекта закупки) </w:t>
      </w:r>
      <w:r w:rsidRPr="00DB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десяти тысяч рублей.</w:t>
      </w:r>
    </w:p>
    <w:p w:rsidR="00C76834" w:rsidRDefault="00C76834" w:rsidP="00C76834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КоАП РФ, устанавливающие применение мер ответственности в сфере закупок для обеспечения государственных  и муниципальных нужд, а также в сфере закупок отдельными видами юридических лиц, в ряде случаев утратили свою актуальность и порождают правовые неопределенности при квалификации тех или иных составов административных нарушений.</w:t>
      </w:r>
    </w:p>
    <w:p w:rsidR="00C76834" w:rsidRPr="00C76834" w:rsidRDefault="00C76834" w:rsidP="00C76834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Государственную думу РФ внесен проект федерального закона № 594965-8 «О внесении изменений в Кодекс Российской Федерации об административных правонарушениях» (о корректировке положений, связанных с ответственностью за нарушения законодательства о контрактной системе в сфере закупок товаров, работ, услуг для обеспечения государственных и муниципальных нужд) (далее – законопроект).</w:t>
      </w:r>
    </w:p>
    <w:p w:rsidR="0010106E" w:rsidRDefault="0038388F" w:rsidP="0010106E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внесенному законопроекту часть 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атьи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7.30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КоАП РФ 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арушение установленных в соответствии с законодательством Российской Федерации иными нормативными правовыми актами о контрактной системе в сфере закупок требований к определению и обоснованию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наложение</w:t>
      </w:r>
      <w:proofErr w:type="gramEnd"/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должностных лиц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106E"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1 %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услуги, но не менее 10 000 (десяти тысяч)   и не более 50 000 (пятидесяти тысяч) рублей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388F" w:rsidRPr="0038388F" w:rsidRDefault="0038388F" w:rsidP="0010106E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случае принятия закона, санкция за нарушение определения и обоснования НМЦК, цены контракт, заключаемого с единственным поставщиком (подрядчиком, исполнителем), будет ужесточена</w:t>
      </w:r>
      <w:r w:rsidRPr="0038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F5A5F" w:rsidRDefault="003F5A5F" w:rsidP="00F9296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1"/>
      <w:bookmarkEnd w:id="0"/>
    </w:p>
    <w:p w:rsidR="00DB71F5" w:rsidRPr="00F9296E" w:rsidRDefault="00F9296E" w:rsidP="00F9296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необходимо обосновывать начальную (максимальную) цену контракта, цену контракта с единственным поставщи</w:t>
      </w:r>
      <w:r w:rsidR="00452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 (подрядчиком, исполнителем)</w:t>
      </w:r>
    </w:p>
    <w:p w:rsidR="00F9296E" w:rsidRPr="00F9296E" w:rsidRDefault="00F9296E" w:rsidP="00F9296E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96E" w:rsidRDefault="00F9296E" w:rsidP="000A38CA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Одним из принципов контрактной системы является принцип </w:t>
      </w:r>
      <w:r w:rsidRPr="00F92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эффективности осуществления закупок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Поэтому начальная (максимальная) цена контракта, цена контракта с единственным поставщиком (подрядчиком, исполнителем) должна быть всегда определена и обоснована в соответствии с требованиями Закона о контрактной системе.</w:t>
      </w:r>
    </w:p>
    <w:p w:rsidR="00451F6A" w:rsidRDefault="00374DAA" w:rsidP="00451F6A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требованиями части </w:t>
      </w:r>
      <w:r w:rsidR="00F9296E" w:rsidRPr="00F92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статьи 42 Закона № 44-ФЗ и</w:t>
      </w:r>
      <w:r w:rsidR="00F9296E" w:rsidRPr="00F92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звещение об осуществлении закупки должно содержать обоснование начальной (максимальной) цены контракта.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51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Таким образом, при проведении конкурентной закупки обоснование НМЦК требуется всегда.</w:t>
      </w:r>
    </w:p>
    <w:p w:rsidR="00DB71F5" w:rsidRDefault="00374DAA" w:rsidP="00451F6A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заключении контракта с единственным поставщиком (подрядчиком, исполнителем) в соответствии с требованиями части 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статьи 93</w:t>
      </w:r>
      <w:r w:rsidR="00C77C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Закона № 44-ФЗ п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 осуществлении закупки у единственного поставщика (подрядчика, исполнителя) </w:t>
      </w:r>
      <w:r w:rsidRPr="00451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определяет цену контракта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заключаемого с единственным поставщиком (подрядчиком, исполнителем), в соответствии с </w:t>
      </w:r>
      <w:r w:rsidR="00451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Законом о контрактной системе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 этом в случаях, предусмотренных пунктами 3, 6, 11, 12, 16, 18, 19, 22, 23, 30 - 35, 37 - 41, 46 и 49 части 1 статьи</w:t>
      </w:r>
      <w:r w:rsidR="00451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93 Закона № 44-ФЗ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51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обосновывает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такую цену в соответствии с </w:t>
      </w:r>
      <w:r w:rsidR="00451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Законом № 44-ФЗ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51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включает в контракт</w:t>
      </w:r>
      <w:r w:rsidRPr="0037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обоснование цены контракта.</w:t>
      </w:r>
    </w:p>
    <w:p w:rsidR="00F9296E" w:rsidRPr="00CA596E" w:rsidRDefault="00451F6A" w:rsidP="00F9296E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Чем определение цены отличается об ее обоснования?</w:t>
      </w:r>
    </w:p>
    <w:p w:rsidR="003F5A5F" w:rsidRDefault="003F5A5F" w:rsidP="003F5A5F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пунктом 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</w:t>
      </w:r>
      <w:r w:rsidR="004316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Методических рекомендаций о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документов, на основании которых выполнен расчет. При этом в обосновании НМЦК, которое подлежит размещению в открытом доступе в информационно-тел</w:t>
      </w:r>
      <w:r w:rsidR="00D36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екоммуникационной сети «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</w:t>
      </w:r>
      <w:r w:rsidR="00D36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(далее - сеть «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</w:t>
      </w:r>
      <w:r w:rsidR="00D36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), не указываются наименования поставщиков (подрядчиков, исполнителей), представивших соответствующую информацию. </w:t>
      </w:r>
      <w:r w:rsidR="00D36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Оригиналы использованных </w:t>
      </w:r>
      <w:r w:rsidRPr="00D36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определении, обосновании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НМЦК документов, снимки экрана (</w:t>
      </w:r>
      <w:r w:rsidR="00D36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скриншот</w:t>
      </w:r>
      <w:r w:rsidR="00D36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), содержащие изображения соответствующих страниц сайтов с указанием даты и времени их формирования, целесообразно хранить с иными документами о закупке, подлежащими хранению в соответствии с требованиями Федерального закона </w:t>
      </w:r>
      <w:r w:rsidR="00D365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3F5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44-ФЗ.</w:t>
      </w:r>
    </w:p>
    <w:p w:rsidR="00CA596E" w:rsidRDefault="00D3652B" w:rsidP="003F5A5F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Таким образом, можно сделать вывод, что определение НМЦК включает в себя изучение рынка, обоснование – изучение рынка и оформление результата в виде документа «Обоснование цены контракта». Ошибочно считать, что определение цены контракта, заключаемого на основании, например,  пункта 4 части 1 статьи 93 Закона о контрактной </w:t>
      </w:r>
      <w:r w:rsidRPr="00CA5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системе, не требует изучения рынка и выполне</w:t>
      </w:r>
      <w:r w:rsidR="00CA596E" w:rsidRPr="00CA5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</w:t>
      </w:r>
      <w:r w:rsidRPr="00CA5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расчета на основании полученной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информации.</w:t>
      </w:r>
      <w:r w:rsidR="00CA5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этом обоснование НМЦК, цены контракта, заключаемого с единственным поставщиком (подрядчиком, исполнителем), всегда требует оформление результата расчета. </w:t>
      </w:r>
    </w:p>
    <w:p w:rsidR="00D3652B" w:rsidRDefault="00D3652B" w:rsidP="003F5A5F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Методические рекомендации носят необязательный характер, но если заказчик </w:t>
      </w:r>
      <w:r w:rsidR="00CA59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Обосновании НМЦК ссылается на Методические рекомендации, они становятся для него обязательными к применению</w:t>
      </w:r>
      <w:r w:rsidR="008A58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851EB" w:rsidRPr="007851EB" w:rsidRDefault="007851EB" w:rsidP="007851EB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практики</w:t>
      </w:r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Заказчик не проводил анализ рынка, когда закупал у ед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инственного </w:t>
      </w:r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поставщика</w:t>
      </w:r>
      <w:r w:rsidR="001010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851EB" w:rsidRDefault="007851EB" w:rsidP="007851EB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Финконтроль</w:t>
      </w:r>
      <w:proofErr w:type="spellEnd"/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проверил прямые закупки заказчика за год и выявил, что ни в одном контракте нет обоснования НМЦК. Заказчик не проводил запрос коммерческих предложений для закупок по пунктам 4 и 5 части 1 статьи 93 Закона № 44-ФЗ. То есть не проводил анализ рынка. Это нарушает нормы статьи 22 Закона № 44-ФЗ</w:t>
      </w:r>
      <w:r w:rsidR="0010106E"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сделали вывод органы финансового контроля.</w:t>
      </w:r>
    </w:p>
    <w:p w:rsidR="007851EB" w:rsidRDefault="007851EB" w:rsidP="007851EB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5A5F" w:rsidRPr="00AA1BE3" w:rsidRDefault="00AA1BE3" w:rsidP="00AA1BE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методы обоснования НМЦК, цены контракта, заключаемого с единственным поставщиком (подрядчиком, исполнителем) предусмотрены</w:t>
      </w:r>
      <w:r w:rsidR="00452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Законом о контрактной системе</w:t>
      </w:r>
    </w:p>
    <w:p w:rsidR="00AA1BE3" w:rsidRDefault="00AA1BE3" w:rsidP="00F9296E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1BE3" w:rsidRPr="00AA1BE3" w:rsidRDefault="00AA1BE3" w:rsidP="004522CF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частью 1 статьи 22 Закона о контрактной системе н</w:t>
      </w: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ачальная (максимальная) цена контракта и в предусмотренных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Законом № 44-ФЗ</w:t>
      </w: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случаях цена контракта, заключаемого с единственным поставщиком (подрядчиком, исполнителем</w:t>
      </w:r>
      <w:r w:rsidRPr="00AA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 определяются и обосновываются</w:t>
      </w: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заказчиком посредством применения следующего </w:t>
      </w:r>
      <w:r w:rsidRPr="00AA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метода или нескольких следующих методов</w:t>
      </w: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A1BE3" w:rsidRPr="00AA1BE3" w:rsidRDefault="00AA1BE3" w:rsidP="00AA1BE3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метод сопоставимых рыночных цен (анализа рынка);</w:t>
      </w:r>
    </w:p>
    <w:p w:rsidR="00AA1BE3" w:rsidRPr="00AA1BE3" w:rsidRDefault="00AA1BE3" w:rsidP="00AA1BE3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нормативный метод;</w:t>
      </w:r>
    </w:p>
    <w:p w:rsidR="00AA1BE3" w:rsidRPr="00AA1BE3" w:rsidRDefault="00AA1BE3" w:rsidP="00AA1BE3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тарифный метод;</w:t>
      </w:r>
    </w:p>
    <w:p w:rsidR="00AA1BE3" w:rsidRPr="00AA1BE3" w:rsidRDefault="00AA1BE3" w:rsidP="00AA1BE3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проектно-сметный метод;</w:t>
      </w:r>
    </w:p>
    <w:p w:rsidR="00AA1BE3" w:rsidRDefault="00AA1BE3" w:rsidP="00AA1BE3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затратный метод.</w:t>
      </w:r>
    </w:p>
    <w:p w:rsidR="00AA1BE3" w:rsidRDefault="007851EB" w:rsidP="007851EB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Напомним коротко о каждом.</w:t>
      </w:r>
    </w:p>
    <w:p w:rsidR="007851EB" w:rsidRDefault="007851EB" w:rsidP="007851EB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D27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Нормативный метод</w:t>
      </w:r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заключается в расчете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НМЦК</w:t>
      </w:r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цены контракта, заключаемого с единственным поставщиком (подрядчиком, исполнителем), на основе требований к закупаемым товарам, работам, услугам, установленных в соответствии со статьей 19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Закона о контрактной системе</w:t>
      </w:r>
      <w:r w:rsidRPr="00785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случае, если такие требования предусматривают установление преде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льных цен товаров, работ, услуг (</w:t>
      </w:r>
      <w:r w:rsidR="00C10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Ведомственный перечень </w:t>
      </w:r>
      <w:r w:rsidR="00C10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отдельных видов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 работ, услуг</w:t>
      </w:r>
      <w:r w:rsidR="00C10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 нормативные затраты на</w:t>
      </w:r>
      <w:r w:rsidR="00C10916" w:rsidRPr="00C10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обеспечение функций государственных органов Белгородской области</w:t>
      </w:r>
      <w:proofErr w:type="gramEnd"/>
      <w:r w:rsidR="00C10916" w:rsidRPr="00C10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подведомственных им казенных учреждений, </w:t>
      </w:r>
      <w:r w:rsidR="00C10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содержат предельные цены отдельных видов товаров, работ, услуг, которые запрещено превышать)</w:t>
      </w:r>
      <w:r w:rsidR="0073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Может применяться совместно с методом сопоставимых рыночных цен (анализ рынка).</w:t>
      </w:r>
    </w:p>
    <w:p w:rsidR="007851EB" w:rsidRDefault="00732373" w:rsidP="00732373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7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Тарифный метод</w:t>
      </w:r>
      <w:r w:rsidRPr="0073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применяется заказчиком, если в соответствии с законодательством Российской Федерации цены закупаемых товаров, работ, услуг подлежат </w:t>
      </w:r>
      <w:r w:rsidRPr="0089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государственному регулированию</w:t>
      </w:r>
      <w:r w:rsidRPr="0073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установлены муниципальными правовыми актами. </w:t>
      </w:r>
      <w:proofErr w:type="gramStart"/>
      <w:r w:rsidRPr="0073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</w:r>
      <w:proofErr w:type="gramEnd"/>
    </w:p>
    <w:p w:rsidR="00891A93" w:rsidRDefault="00891A93" w:rsidP="006257B6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обратить внимание на то, что тарифы на отдельные виды товаров, работ, услуг должны быть установлены на государственн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 уровне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Руководствоваться необходимо, в том числе, п</w:t>
      </w:r>
      <w:r w:rsidR="005E45A0"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остановление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5E45A0"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Правительства РФ от 07.03.1995 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5E45A0"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239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5E45A0"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мерах по упорядочению государственн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 регулирования цен (тарифов)»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257B6" w:rsidRP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6257B6" w:rsidRP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закон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="006257B6" w:rsidRP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25.04.2002 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6257B6" w:rsidRP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40-ФЗ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«</w:t>
      </w:r>
      <w:r w:rsidR="006257B6" w:rsidRP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обязательном страховании гражданской ответственности 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владельцев транспортных средств».</w:t>
      </w:r>
    </w:p>
    <w:p w:rsidR="009425D3" w:rsidRPr="009425D3" w:rsidRDefault="00242E7F" w:rsidP="00242E7F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Надо обратить внимание, что заказчики неправильно выбирают метод обоснования НМЦК, считая его тарифным. Так</w:t>
      </w:r>
      <w:r w:rsid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F1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 закупки -</w:t>
      </w:r>
      <w:r w:rsidR="003F1FE7" w:rsidRPr="003F1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оказание услуг федеральной фельдъегерской связи.</w:t>
      </w:r>
      <w:r w:rsidR="003F1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</w:t>
      </w:r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ены на оказание услуг федеральной фельдъегерской связи не подлежат государственному регулированию; </w:t>
      </w:r>
      <w:proofErr w:type="gramStart"/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этом, </w:t>
      </w:r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ФСИН России от 26.04.2017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330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порядка расчета нормативных затрат на обеспечение функций ФСИН России, территориальных органов ФСИН России и федеральных казенных учреждений уголовно-исполнительной системы по оплате затрат на услуги связи, не отнесенные к затратам на услуги связи в рамках затрат на информацио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нно-коммуникационные технологии»</w:t>
      </w:r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утвержден порядок расчета нормативных затрат на обеспечение функций ФСИН России, территориальных органов</w:t>
      </w:r>
      <w:proofErr w:type="gramEnd"/>
      <w:r w:rsidRPr="00242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ФСИН России и федеральных казенных учреждений уголовно-исполнительной системы по оплате затрат на услуги связи</w:t>
      </w:r>
      <w:r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Оснований для применения тарифного метода при определении указанной цены у государственного заказчика не имелось, поскольку услуги федеральной фельдъегерской свя</w:t>
      </w:r>
      <w:r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 не регулируются государством</w:t>
      </w:r>
      <w:proofErr w:type="gramStart"/>
      <w:r w:rsidR="003F1FE7"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3F1FE7"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Заказчиком не соблюден порядок обоснования начальной (максимальной) цены контракта, что образует в его действиях состав административного правонарушения, предусмотренного частью 2 статьи 7.29.3 КоАП РФ. </w:t>
      </w:r>
      <w:r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9425D3"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 </w:t>
      </w:r>
      <w:r w:rsidR="00245B73"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Ярославского областного суд</w:t>
      </w:r>
      <w:r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245B73"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25D3"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30-2-670/2021 от 19</w:t>
      </w:r>
      <w:r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.10.</w:t>
      </w:r>
      <w:r w:rsidR="009425D3"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2021 по делу № 30-2-670/2021</w:t>
      </w:r>
      <w:r w:rsidRP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45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D4858" w:rsidRPr="005D4858" w:rsidRDefault="005D4858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7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Проектно-сметный метод</w:t>
      </w:r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D4858" w:rsidRPr="005D4858" w:rsidRDefault="005D4858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  <w:proofErr w:type="gramEnd"/>
    </w:p>
    <w:p w:rsidR="005D4858" w:rsidRPr="005D4858" w:rsidRDefault="005D4858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</w:t>
      </w:r>
      <w:proofErr w:type="gramEnd"/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области государственной охраны объектов культурного наследия.</w:t>
      </w:r>
    </w:p>
    <w:p w:rsidR="005D4858" w:rsidRPr="005D4858" w:rsidRDefault="005D4858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Проектно-сметный метод может применяться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</w:t>
      </w:r>
      <w:r w:rsidRPr="005E4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текущий ремонт</w:t>
      </w:r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зданий, строений, сооружений, помещений.</w:t>
      </w:r>
      <w:proofErr w:type="gramEnd"/>
    </w:p>
    <w:p w:rsidR="005E45A0" w:rsidRDefault="005E45A0" w:rsidP="005E45A0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обосновании НМЦК, цены контракта, заключаемой с единственным подрядчиком, необходимо руководствоваться  </w:t>
      </w:r>
      <w:r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Приказ Минстроя России от 23.12.2019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841/</w:t>
      </w:r>
      <w:proofErr w:type="spellStart"/>
      <w:proofErr w:type="gramStart"/>
      <w:r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ктов капитального строительства».</w:t>
      </w:r>
    </w:p>
    <w:p w:rsidR="005E45A0" w:rsidRDefault="005E45A0" w:rsidP="005E45A0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Подробней с порядком обоснования НМЦК, цены контракта, заключаемого с единственным подрядчиком, в градостроительной сфере можно по ссылке: </w:t>
      </w:r>
      <w:r w:rsidRP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https://belgoszakaz.ru/media/site_platform_media/2023/8/7/obosnovanie-nmtsk-v-gradostroitelnoj-sfere.rar</w:t>
      </w:r>
    </w:p>
    <w:p w:rsidR="00FD299E" w:rsidRPr="001E74C5" w:rsidRDefault="00FD299E" w:rsidP="001E74C5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Методик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утверждена </w:t>
      </w: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Минстроя России от 04.08.2020 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="001E74C5"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421/</w:t>
      </w:r>
      <w:proofErr w:type="spellStart"/>
      <w:proofErr w:type="gramStart"/>
      <w:r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="00245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EB13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далее – Методика)</w:t>
      </w:r>
      <w:r w:rsidR="001E74C5"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E74C5" w:rsidRPr="001E74C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E74C5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1E74C5"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B13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Методики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</w:t>
      </w:r>
      <w:r w:rsidR="001E74C5"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метной документации прилагаются </w:t>
      </w:r>
      <w:r w:rsidR="001E74C5"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пояснительная записка;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E74C5"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ведомости объемов работ;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E74C5" w:rsidRP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обосновывающие документы.</w:t>
      </w:r>
    </w:p>
    <w:p w:rsidR="001E74C5" w:rsidRDefault="001E74C5" w:rsidP="00FD299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при обосновании НМЦК, цены контракта, заключаемого с единственным подрядчиком, проектно-сметным методом пояснительная записка отсутствует, контролеры могут выдать предписание и посчитать, что НМЦК рассчитана неверно.</w:t>
      </w:r>
    </w:p>
    <w:p w:rsidR="00FD299E" w:rsidRPr="00FD299E" w:rsidRDefault="00FD299E" w:rsidP="00FD299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Пример. Заказчик не приложил к смете обязательный документ и получил предписание</w:t>
      </w:r>
    </w:p>
    <w:p w:rsidR="00FD299E" w:rsidRPr="00FD299E" w:rsidRDefault="00FD299E" w:rsidP="00FD299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Финконтроль</w:t>
      </w:r>
      <w:proofErr w:type="spellEnd"/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проверке обоснованности начальной максимальной цены контракта проектно-сметным способом не обнаружил в документации пояснительной записки. Заказчик настаивал на том, что контрактом составление пояснительной записки не предусмотрено. Но контролеры указали, что такая обязанность есть в приказе Минстроя от 04.08.2020 № 421/пр. Поэтому заказчик обязан подготовить документ</w:t>
      </w:r>
      <w:r w:rsidR="001E7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D299E" w:rsidRPr="00FD299E" w:rsidRDefault="00FD299E" w:rsidP="00FD299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Техническая документация так же обязательный элемент расчета НМЦК для строительных закупок. Сметные расчеты разрабатываются на основании проектной или иной технической документации, ведомостей объемов работ с указанием их наименований, единиц измерения и объемов, ссылок на чертежи и спецификации, расчета объемов работ и расхода материальных ресурсов с приведением формул расчета, а также иных исходных данных, которые необходимы для определения сметной стоимости строительства. Об этом говорит пункт 35 </w:t>
      </w:r>
      <w:r w:rsidR="00EB13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Методики</w:t>
      </w: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Правила расчета сложные и зависят от многих параметров. Поэтому к расчету важно приложить все документы и пояснения. Иначе </w:t>
      </w:r>
      <w:proofErr w:type="spellStart"/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финконтроль</w:t>
      </w:r>
      <w:proofErr w:type="spellEnd"/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решит, что начальная максимальная цена рассчитана неверно.</w:t>
      </w:r>
    </w:p>
    <w:p w:rsidR="00FD299E" w:rsidRPr="00FD299E" w:rsidRDefault="00FD299E" w:rsidP="00FD299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Пример. Заказчик не приложил техническую документацию и не расписал формулы, поэтому рассчитал НМЦК неверно</w:t>
      </w:r>
      <w:r w:rsidR="00EB13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D299E" w:rsidRPr="00FD299E" w:rsidRDefault="00FD299E" w:rsidP="00FD299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Финконтроль</w:t>
      </w:r>
      <w:proofErr w:type="spellEnd"/>
      <w:r w:rsidRPr="00FD2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нашел нарушения в действиях заказчика, который не приложил к расчетам техдокументацию, а при расчете объемов работ и расхода материалов не привел формулы. В локально-сметных расчетах заказчик учел валку 355 деревьев и расчистку мелколесья. Но не приложил акты обследования зеленых насаждений и техдокументацию, которую использовал для расчета стоимости. Это значит, что невозможно установить, как проводились расчеты, и понять, верны ли они.</w:t>
      </w:r>
    </w:p>
    <w:p w:rsidR="005E45A0" w:rsidRDefault="005D4858" w:rsidP="00FD299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7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Затратный метод</w:t>
      </w:r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применяется в случае невозможности применения иных методов, или в дополнение к 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ним</w:t>
      </w:r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257B6" w:rsidRDefault="005D4858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Данный метод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как суммы произведенных затрат и обычной для определенной сферы деятельности прибыли. </w:t>
      </w:r>
      <w:r w:rsidR="005E4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Этот метод  обоснования, как правило, применяется при проведении закупок</w:t>
      </w:r>
      <w:r w:rsidR="00625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производству заказной продукции, НИОКР организации мероприятий.</w:t>
      </w:r>
    </w:p>
    <w:p w:rsidR="006257B6" w:rsidRDefault="006257B6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 составляет калькуляцию, в которой предусматривает прямые и косвенные затраты на выполнение отдельных действий.</w:t>
      </w:r>
    </w:p>
    <w:p w:rsidR="006257B6" w:rsidRDefault="006257B6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7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Иной метод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обоснования НМЦК, цены контракта, заключаемого с единственным поставщиком (подрядчиком, исполнителем) используется в</w:t>
      </w:r>
      <w:r w:rsidR="005D4858" w:rsidRPr="005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случае невозможности применения методов, указанных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ыше.</w:t>
      </w:r>
    </w:p>
    <w:p w:rsidR="006257B6" w:rsidRDefault="006257B6" w:rsidP="005D4858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 иного способа обоснования всегда должен быть обоснован.</w:t>
      </w:r>
    </w:p>
    <w:p w:rsidR="006257B6" w:rsidRDefault="00025BEE" w:rsidP="00025BE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Так, в соответствии с частью 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статьи 22 Закона № 44-ФЗ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Правительство Российской Федерации вправе </w:t>
      </w:r>
      <w:r w:rsidRPr="0002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определить сферы деятельности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которых при осуществлении закупок </w:t>
      </w:r>
      <w:r w:rsidRPr="0002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устанавливается порядок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</w:t>
      </w:r>
      <w:r w:rsidRPr="0002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федеральные органы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исполнительной власти, Государственную корпорацию по атомной энергии "Росатом", Государственную 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корпорацию по космической деятельности "</w:t>
      </w:r>
      <w:proofErr w:type="spellStart"/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Роскосмос</w:t>
      </w:r>
      <w:proofErr w:type="spellEnd"/>
      <w:proofErr w:type="gramEnd"/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", уполномоченные устанавливать такой порядок с учетом положений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44-ФЗ</w:t>
      </w:r>
      <w:r w:rsidRPr="00025B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25BEE" w:rsidRPr="00025BEE" w:rsidRDefault="00025BEE" w:rsidP="00025BEE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Особый порядок обоснования </w:t>
      </w:r>
      <w:r w:rsidR="00580F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(иной метод)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</w:t>
      </w:r>
      <w:r w:rsidR="00580F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25BEE" w:rsidRDefault="00580FE6" w:rsidP="0058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5BE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25BEE">
        <w:rPr>
          <w:rFonts w:ascii="Times New Roman" w:hAnsi="Times New Roman" w:cs="Times New Roman"/>
          <w:sz w:val="24"/>
          <w:szCs w:val="24"/>
        </w:rPr>
        <w:t xml:space="preserve"> Минздрава России от 15.05.2020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25BEE">
        <w:rPr>
          <w:rFonts w:ascii="Times New Roman" w:hAnsi="Times New Roman" w:cs="Times New Roman"/>
          <w:sz w:val="24"/>
          <w:szCs w:val="24"/>
        </w:rPr>
        <w:t xml:space="preserve"> 450н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25BEE">
        <w:rPr>
          <w:rFonts w:ascii="Times New Roman" w:hAnsi="Times New Roman" w:cs="Times New Roman"/>
          <w:sz w:val="24"/>
          <w:szCs w:val="24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</w:t>
      </w:r>
      <w:r>
        <w:rPr>
          <w:rFonts w:ascii="Times New Roman" w:hAnsi="Times New Roman" w:cs="Times New Roman"/>
          <w:sz w:val="24"/>
          <w:szCs w:val="24"/>
        </w:rPr>
        <w:t>нии закупок медицинских изделий» - поставка медицинских изделий;</w:t>
      </w:r>
    </w:p>
    <w:p w:rsidR="00025BEE" w:rsidRPr="00025BEE" w:rsidRDefault="00580FE6" w:rsidP="0058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Минстроя России от 23.12.2019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841/</w:t>
      </w:r>
      <w:proofErr w:type="spellStart"/>
      <w:proofErr w:type="gramStart"/>
      <w:r w:rsidR="00025BEE" w:rsidRPr="00025BEE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</w:t>
      </w:r>
      <w:r>
        <w:rPr>
          <w:rFonts w:ascii="Times New Roman" w:hAnsi="Times New Roman" w:cs="Times New Roman"/>
          <w:bCs/>
          <w:sz w:val="24"/>
          <w:szCs w:val="24"/>
        </w:rPr>
        <w:t>ктов капитального строительства» - выполнение работ в градостроительной сфере;</w:t>
      </w:r>
    </w:p>
    <w:p w:rsidR="00025BEE" w:rsidRDefault="00580FE6" w:rsidP="0058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Минтранса России от 20.10.2021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351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cs="Times New Roman"/>
          <w:bCs/>
          <w:sz w:val="24"/>
          <w:szCs w:val="24"/>
        </w:rPr>
        <w:t>» - оказание услуг по пассажирским перевозкам;</w:t>
      </w:r>
    </w:p>
    <w:p w:rsidR="00DA6E83" w:rsidRPr="00025BEE" w:rsidRDefault="00DA6E83" w:rsidP="00DA6E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Подробней – по ссылке: </w:t>
      </w:r>
      <w:r w:rsidRPr="00DA6E83">
        <w:rPr>
          <w:rFonts w:ascii="Times New Roman" w:hAnsi="Times New Roman" w:cs="Times New Roman"/>
          <w:bCs/>
          <w:sz w:val="24"/>
          <w:szCs w:val="24"/>
        </w:rPr>
        <w:t>https://belgoszakaz.ru/media/site_platform_media/2023/5/26/obosnovanie-nmtsk-na-regulyarnyie-perevozki.docx</w:t>
      </w:r>
    </w:p>
    <w:p w:rsidR="00025BEE" w:rsidRDefault="00580FE6" w:rsidP="0058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5BEE" w:rsidRPr="00025BEE">
        <w:rPr>
          <w:rFonts w:ascii="Times New Roman" w:hAnsi="Times New Roman" w:cs="Times New Roman"/>
          <w:bCs/>
          <w:sz w:val="24"/>
          <w:szCs w:val="24"/>
        </w:rPr>
        <w:t>Росгвардии</w:t>
      </w:r>
      <w:proofErr w:type="spellEnd"/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от 15.02.2021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</w:t>
      </w:r>
      <w:r>
        <w:rPr>
          <w:rFonts w:ascii="Times New Roman" w:hAnsi="Times New Roman" w:cs="Times New Roman"/>
          <w:bCs/>
          <w:sz w:val="24"/>
          <w:szCs w:val="24"/>
        </w:rPr>
        <w:t>» - оказание охранных услуг;</w:t>
      </w:r>
    </w:p>
    <w:p w:rsidR="00DA6E83" w:rsidRPr="00025BEE" w:rsidRDefault="00DA6E83" w:rsidP="00DA6E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Подробней – по ссылке:  </w:t>
      </w:r>
      <w:r w:rsidRPr="00DA6E83">
        <w:rPr>
          <w:rFonts w:ascii="Times New Roman" w:hAnsi="Times New Roman" w:cs="Times New Roman"/>
          <w:bCs/>
          <w:sz w:val="24"/>
          <w:szCs w:val="24"/>
        </w:rPr>
        <w:t>https://belgoszakaz.ru/media/site_platform_media/2023/8/28/obosnovanie-nmtsk-ohrannyie-uslugi-chastnaya.docx</w:t>
      </w:r>
    </w:p>
    <w:p w:rsidR="00025BEE" w:rsidRDefault="00580FE6" w:rsidP="0058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Минздрава России от 19.12.2019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1064н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</w:t>
      </w:r>
      <w:r>
        <w:rPr>
          <w:rFonts w:ascii="Times New Roman" w:hAnsi="Times New Roman" w:cs="Times New Roman"/>
          <w:bCs/>
          <w:sz w:val="24"/>
          <w:szCs w:val="24"/>
        </w:rPr>
        <w:t>тов для медицинского применения» - поставка лекарственных препаратов;</w:t>
      </w:r>
    </w:p>
    <w:p w:rsidR="00DA6E83" w:rsidRPr="00025BEE" w:rsidRDefault="00DA6E83" w:rsidP="0058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Подробней – по ссылке: </w:t>
      </w:r>
      <w:r w:rsidRPr="00DA6E83">
        <w:rPr>
          <w:rFonts w:ascii="Times New Roman" w:hAnsi="Times New Roman" w:cs="Times New Roman"/>
          <w:bCs/>
          <w:sz w:val="24"/>
          <w:szCs w:val="24"/>
        </w:rPr>
        <w:t>https://belgoszakaz.ru/media/site_platform_media/2023/5/10/nmtsk-dlya-lekarstvennyih-sredstv.docx</w:t>
      </w:r>
    </w:p>
    <w:p w:rsidR="00025BEE" w:rsidRPr="00025BEE" w:rsidRDefault="00580FE6" w:rsidP="0058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Минпромторга России от 28.02.2023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 xml:space="preserve"> 639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25BEE" w:rsidRPr="00025BEE">
        <w:rPr>
          <w:rFonts w:ascii="Times New Roman" w:hAnsi="Times New Roman" w:cs="Times New Roman"/>
          <w:bCs/>
          <w:sz w:val="24"/>
          <w:szCs w:val="24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продукции судостроительной промышленности (за исключением продукции, закупка которой осуществляется в рамках госу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дарственного оборонного заказа)» - поставка </w:t>
      </w:r>
      <w:r w:rsidRPr="00025BEE">
        <w:rPr>
          <w:rFonts w:ascii="Times New Roman" w:hAnsi="Times New Roman" w:cs="Times New Roman"/>
          <w:bCs/>
          <w:sz w:val="24"/>
          <w:szCs w:val="24"/>
        </w:rPr>
        <w:t>продукции судостроительной промышленности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A6E83" w:rsidRDefault="00DA6E83" w:rsidP="0052511E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57B6" w:rsidRPr="00DA6E83" w:rsidRDefault="00DA6E83" w:rsidP="00DA6E8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6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сопоставимых рыночных цен (анализа рынка)</w:t>
      </w:r>
    </w:p>
    <w:p w:rsidR="00D30902" w:rsidRDefault="00D30902" w:rsidP="00D30902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6E83" w:rsidRPr="00DA6E83" w:rsidRDefault="00DA6E83" w:rsidP="00D30902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0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сопоставимых рыночных цен (анализа рынка)</w:t>
      </w: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заключается в установлении </w:t>
      </w:r>
      <w:r w:rsidR="00F50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НМЦК</w:t>
      </w: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цены контракта, заключаемого с единственным поставщиком (подрядчиком, исполнителем), на основании информации о рыночных ценах </w:t>
      </w:r>
      <w:r w:rsidRPr="00F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идентичных</w:t>
      </w: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товаров, работ, услуг, планируемых к закупкам, или при их отсутствии </w:t>
      </w:r>
      <w:r w:rsidRPr="00F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однородных</w:t>
      </w: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товаров, работ, услуг.</w:t>
      </w:r>
    </w:p>
    <w:p w:rsidR="00DA6E83" w:rsidRDefault="00DA6E83" w:rsidP="00F507C1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применении метода сопоставимых рыночных цен (анализа рынка) информация о ценах товаров, работ, услуг </w:t>
      </w:r>
      <w:r w:rsidRPr="00F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должна быть получена</w:t>
      </w: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учетом сопоставимых с условиями </w:t>
      </w: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планируемой закупки коммерческих и (или) финансовых условий поставок товаров, выполнения работ, оказания услуг.</w:t>
      </w:r>
    </w:p>
    <w:p w:rsidR="00DD508C" w:rsidRPr="00DD508C" w:rsidRDefault="00E25811" w:rsidP="00DD508C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Невозможно о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босновать НМЦК, если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запросе цен 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указа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точные параметры закупки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DD508C" w:rsidRPr="00E258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То есть нельзя верно рассчитать НМЦК, если указать, что планируете приобретать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мебель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а в запросе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цен 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написать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ее 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параметры. </w:t>
      </w:r>
      <w:r w:rsidR="00892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асчет НМЦК по такому коммерческому предложению будет неверным. </w:t>
      </w:r>
      <w:r w:rsidR="00892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юбая проверка увидит несоответствие и </w:t>
      </w:r>
      <w:r w:rsidR="00892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может 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нака</w:t>
      </w:r>
      <w:r w:rsidR="00892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зать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заказчика за нарушение правил расчета НМЦК.</w:t>
      </w:r>
    </w:p>
    <w:p w:rsidR="00DD508C" w:rsidRPr="00DD508C" w:rsidRDefault="00DD508C" w:rsidP="00DD508C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Пример. Заказчик не указал в запросе КП параметры объекта закупки</w:t>
      </w:r>
      <w:r w:rsidR="00892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D508C" w:rsidRDefault="003367EC" w:rsidP="00DD508C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Были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ены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закупки муниципальной автотранспортной базы и выяв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лены</w:t>
      </w:r>
      <w:r w:rsidR="00DD508C" w:rsidRPr="00DD5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многочисленные нарушения. Так, заказчик при расчете НМЦК на закупку шин использовал коммерческие предложения, где не было параметров объекта закупки. Заказчик забыл в запросе упомянуть, что планирует приобрести шины определенного размера и сезонности. Эта информация прямо влияет на цену. Поэтому НМЦК закупки невозможно правильно посчитать.</w:t>
      </w:r>
    </w:p>
    <w:p w:rsidR="003367EC" w:rsidRDefault="00BC0ACE" w:rsidP="00DD508C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273471" w:rsidRDefault="005C15E2" w:rsidP="005C15E2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C1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целях определения НМЦК методом сопоставимых рыночных цен (анализа рынка) </w:t>
      </w:r>
      <w:r w:rsidR="00BC6F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необходимо </w:t>
      </w:r>
      <w:r w:rsidR="00273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изучить рынок с целью  выявления идентичных или однородных товаров, работ, услуг. При этом идентичные товары будут  полностью соответствовать Описанию объекта закупки, однородные – незначительно отличаться.</w:t>
      </w:r>
    </w:p>
    <w:p w:rsidR="005C15E2" w:rsidRDefault="00273471" w:rsidP="005C15E2">
      <w:pPr>
        <w:shd w:val="clear" w:color="auto" w:fill="FFFFFF"/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Поэтому до начала определения и обоснования НМЦК, цены контракта, заключаемого с единственным поставщиком (исполнителем, подрядчиком), заказчику необходимо составить описание объекта закупки, исходя из своих потребностей и в соответствии с требованиями статьи 33 Закона о контрактной системе.</w:t>
      </w:r>
    </w:p>
    <w:p w:rsidR="00273471" w:rsidRDefault="00DA6E83" w:rsidP="00273471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6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применения метода сопоставимых рыночных цен (анализа рынка) могут использоваться</w:t>
      </w:r>
      <w:r w:rsidR="00F82C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следующие </w:t>
      </w:r>
      <w:r w:rsid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источники информации</w:t>
      </w:r>
      <w:r w:rsidR="00403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D5752" w:rsidRPr="004036C1" w:rsidRDefault="007130CB" w:rsidP="00273471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О</w:t>
      </w:r>
      <w:r w:rsidR="00DA6E83"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бщедоступная информация о рыночных ценах товаров, работ, услуг в соответствии с частью 18 статьи</w:t>
      </w:r>
      <w:r w:rsidR="000D5752"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22 Закона (обязательно!)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НМЦК, цены контракта, заключаемого с единственным поставщиком (подрядчиком, исполнителем), относятся: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r w:rsidRPr="002D6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ценах товаров, работ, услуг, содержащаяся в контрактах</w:t>
      </w:r>
      <w:r w:rsidRP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контрактами;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Обратите внимание! В случае</w:t>
      </w:r>
      <w:proofErr w:type="gramStart"/>
      <w:r w:rsidRPr="007130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</w:t>
      </w:r>
      <w:proofErr w:type="gramEnd"/>
      <w:r w:rsidRPr="007130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если по контракту заказчиком начислялась неустойка и впоследствии была списана либо частично списана и частично погашена в соответствии с Постановлением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(далее – Постановление № 783), использовать такой контракт в качестве источника информации о ценах товаров, работ, услуг для целей определения НМЦК, цены контракта, заключаемого с единственным поставщиком (подрядчиком, исполнителем) нельзя. Факт списания неустойки не исключает факта применения к такому участнику неустоек (штрафов, пеней).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 соответствии со статьей 437 Гражданского кодекса РФ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(публичная оферта). Как правило, реклама и описание </w:t>
      </w:r>
      <w:r w:rsidRPr="007130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товаров в общедоступных предложениях носит предварительный характер и зачастую содержит оговорку: «не является публичной офертой».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3) информация о котировках на российских биржах;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4) информация о котировках на электронных площадках;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5) данные государственной статистической отчетности о ценах товаров, работ, услуг;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информация о ценах товаров,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РФ, законодательством субъектов РФ,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Это может быть, например, информация Федеральной антимонопольной службы РФ, которую можно использовать.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7) информация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государств;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8) информация информационно-ценовых агентств, общедоступные результаты изучения рынка, а также результаты изучения рынка, проведенного по инициативе заказчика, в том числе на основании контракта, при условии раскрытия методологии расчета цен, </w:t>
      </w:r>
    </w:p>
    <w:p w:rsidR="007130CB" w:rsidRP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иные источники информации.</w:t>
      </w:r>
    </w:p>
    <w:p w:rsid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130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Что может быть иным источником информации? Например, цены участников закупок, которые участвовали в закупке и не стали победителями.</w:t>
      </w:r>
      <w:r w:rsidR="00EE59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Цены контрактов, исполненных с небольшой пеней. Цены контрактов, находящихся на исполнении.</w:t>
      </w:r>
    </w:p>
    <w:p w:rsidR="002D6DF3" w:rsidRPr="007130CB" w:rsidRDefault="002D6DF3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D5752" w:rsidRPr="004036C1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</w:t>
      </w:r>
      <w:r w:rsidR="000D5752"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="00DA6E83"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 (в случае получен</w:t>
      </w:r>
      <w:r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ия такой информации заказчиком).</w:t>
      </w:r>
      <w:proofErr w:type="gramEnd"/>
    </w:p>
    <w:p w:rsidR="007130CB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Запрос ценовой информации лучше направлять поставщикам (подрядчикам, исполнителя), уже имеющим опыт выполнения аналогичных контрактов без нарушения обязательств. При этом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 имеет возможность сравнить предложенные цены с теми, которые ранее использовались заказчиком.</w:t>
      </w:r>
    </w:p>
    <w:p w:rsidR="004036C1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определения идентичности и однородности товаров, работ, услуг к запросу цен должна прилагаться Спецификация товара (Техническое задание на выполнение работ (оказание услуг))</w:t>
      </w:r>
      <w:r w:rsid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Запрос цен должен содержать описание основных условий контракта, </w:t>
      </w:r>
      <w:r w:rsidR="00403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который будет заключен по результатам закупки, в числе которых коммерческие условия (срок, объем, место) и финансовые условия (порядок оплаты, наличие условия обеспе</w:t>
      </w:r>
      <w:r w:rsidR="00BB27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</w:t>
      </w:r>
      <w:r w:rsidR="00403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 контракта, гарантийных обязательств).</w:t>
      </w:r>
    </w:p>
    <w:p w:rsidR="00B123E7" w:rsidRDefault="004036C1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запросе необходимо установить срок предоставления коммерческого предложения. При этом</w:t>
      </w:r>
      <w:proofErr w:type="gramStart"/>
      <w:r w:rsid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если коммерческое предложение поступит позже указанного в запросе срока, его можно не принимать (не регистрировать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делопроизводстве</w:t>
      </w:r>
      <w:r w:rsid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 Рекомендуем хранить все коммерческие предложения, поступившие в срок (обязательно регистрировать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делопроизводстве</w:t>
      </w:r>
      <w:r w:rsid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4036C1" w:rsidRDefault="004036C1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Запрос цен  должен содержать оговорку, что п</w:t>
      </w:r>
      <w:r w:rsidR="00B123E7" w:rsidRP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роведение процедуры сбора информации о ценах не влечет за собой возникновения каких-либо обязательств заказчика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а также  </w:t>
      </w:r>
      <w:r w:rsidR="00B123E7" w:rsidRP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даёт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B123E7" w:rsidRP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дальнейшем преимуще</w:t>
      </w:r>
      <w:proofErr w:type="gramStart"/>
      <w:r w:rsidR="00B123E7" w:rsidRP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дл</w:t>
      </w:r>
      <w:proofErr w:type="gramEnd"/>
      <w:r w:rsidR="00B123E7" w:rsidRPr="00B12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лиц, подавших предложение. </w:t>
      </w:r>
    </w:p>
    <w:p w:rsidR="007130CB" w:rsidRPr="00D271D3" w:rsidRDefault="007130CB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рекомендуемым запросом цен на поставку товара можно ознакомиться по ссылке: </w:t>
      </w:r>
      <w:hyperlink r:id="rId6" w:history="1">
        <w:r w:rsidR="004036C1" w:rsidRPr="00D271D3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https://belgoszakaz.ru/media/site_platform_media/2024/3/26/rekomenduemyij-zapros-tsen-na-postavku-tovarov.docx</w:t>
        </w:r>
      </w:hyperlink>
    </w:p>
    <w:p w:rsidR="004036C1" w:rsidRPr="000D5752" w:rsidRDefault="004036C1" w:rsidP="007130CB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6E83" w:rsidRDefault="004036C1" w:rsidP="00273471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И</w:t>
      </w:r>
      <w:r w:rsidR="00DA6E83" w:rsidRPr="00403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нформация, полученная в результате размещения запросов цен товаров, работ, услуг в единой информационной системе (в случае получен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ия такой информации заказчиком)</w:t>
      </w:r>
    </w:p>
    <w:p w:rsidR="00BB2793" w:rsidRDefault="00BB2793" w:rsidP="00273471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2793" w:rsidRPr="00BB2793" w:rsidRDefault="00BB2793" w:rsidP="00273471">
      <w:pPr>
        <w:shd w:val="clear" w:color="auto" w:fill="FFFFFF"/>
        <w:spacing w:after="0" w:line="240" w:lineRule="atLeas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0B5F06F" wp14:editId="13D89C83">
            <wp:extent cx="6014184" cy="3330054"/>
            <wp:effectExtent l="0" t="0" r="5715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85" t="-2011" r="-666" b="3823"/>
                    <a:stretch/>
                  </pic:blipFill>
                  <pic:spPr bwMode="auto">
                    <a:xfrm>
                      <a:off x="0" y="0"/>
                      <a:ext cx="6015995" cy="333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1D3" w:rsidRDefault="00D271D3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8"/>
      <w:bookmarkStart w:id="2" w:name="Par20"/>
      <w:bookmarkEnd w:id="1"/>
      <w:bookmarkEnd w:id="2"/>
    </w:p>
    <w:p w:rsidR="00BB2793" w:rsidRPr="00BB2793" w:rsidRDefault="00BB2793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2793">
        <w:rPr>
          <w:rFonts w:ascii="Times New Roman" w:hAnsi="Times New Roman" w:cs="Times New Roman"/>
          <w:sz w:val="24"/>
          <w:szCs w:val="24"/>
        </w:rPr>
        <w:t xml:space="preserve">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</w:t>
      </w:r>
      <w:r w:rsidRPr="00BB2793">
        <w:rPr>
          <w:rFonts w:ascii="Times New Roman" w:hAnsi="Times New Roman" w:cs="Times New Roman"/>
          <w:b/>
          <w:sz w:val="24"/>
          <w:szCs w:val="24"/>
        </w:rPr>
        <w:t>не оказывают влияния на соответствующие результаты</w:t>
      </w:r>
      <w:r w:rsidRPr="00BB2793">
        <w:rPr>
          <w:rFonts w:ascii="Times New Roman" w:hAnsi="Times New Roman" w:cs="Times New Roman"/>
          <w:sz w:val="24"/>
          <w:szCs w:val="24"/>
        </w:rPr>
        <w:t xml:space="preserve"> или эти различия могут быть учтены с применением корректировок таких условий с использованием </w:t>
      </w:r>
      <w:r w:rsidR="00C530C5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BB2793">
        <w:rPr>
          <w:rFonts w:ascii="Times New Roman" w:hAnsi="Times New Roman" w:cs="Times New Roman"/>
          <w:sz w:val="24"/>
          <w:szCs w:val="24"/>
        </w:rPr>
        <w:t>индексов или коэффициен</w:t>
      </w:r>
      <w:r w:rsidR="00C530C5">
        <w:rPr>
          <w:rFonts w:ascii="Times New Roman" w:hAnsi="Times New Roman" w:cs="Times New Roman"/>
          <w:sz w:val="24"/>
          <w:szCs w:val="24"/>
        </w:rPr>
        <w:t>т</w:t>
      </w:r>
      <w:r w:rsidRPr="00BB2793">
        <w:rPr>
          <w:rFonts w:ascii="Times New Roman" w:hAnsi="Times New Roman" w:cs="Times New Roman"/>
          <w:sz w:val="24"/>
          <w:szCs w:val="24"/>
        </w:rPr>
        <w:t>ов.</w:t>
      </w:r>
    </w:p>
    <w:p w:rsidR="00C530C5" w:rsidRDefault="00C530C5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629F" w:rsidRPr="00BB2793" w:rsidRDefault="002E629F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b/>
          <w:sz w:val="24"/>
          <w:szCs w:val="24"/>
        </w:rPr>
        <w:t>Не рекомендуется</w:t>
      </w:r>
      <w:r w:rsidRPr="00BB2793">
        <w:rPr>
          <w:rFonts w:ascii="Times New Roman" w:hAnsi="Times New Roman" w:cs="Times New Roman"/>
          <w:sz w:val="24"/>
          <w:szCs w:val="24"/>
        </w:rPr>
        <w:t xml:space="preserve"> использовать для расчета НМЦК ценовую информацию:</w:t>
      </w:r>
    </w:p>
    <w:p w:rsidR="002E629F" w:rsidRDefault="00C530C5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9F" w:rsidRPr="00BB2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29F" w:rsidRPr="00BB2793">
        <w:rPr>
          <w:rFonts w:ascii="Times New Roman" w:hAnsi="Times New Roman" w:cs="Times New Roman"/>
          <w:sz w:val="24"/>
          <w:szCs w:val="24"/>
        </w:rPr>
        <w:t>представленную</w:t>
      </w:r>
      <w:proofErr w:type="gramEnd"/>
      <w:r w:rsidR="002E629F" w:rsidRPr="00BB2793">
        <w:rPr>
          <w:rFonts w:ascii="Times New Roman" w:hAnsi="Times New Roman" w:cs="Times New Roman"/>
          <w:sz w:val="24"/>
          <w:szCs w:val="24"/>
        </w:rPr>
        <w:t xml:space="preserve"> лицами, сведения о которых включены в реестр недобросовестных поставщиков (подрядчиков, исполнителей);</w:t>
      </w:r>
    </w:p>
    <w:p w:rsidR="00C530C5" w:rsidRPr="00BB2793" w:rsidRDefault="00C530C5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лицами, сведения о которых не внесены или исключены из единого государственного реестра юридических лиц (ЕГРЮЛ), единого государственного реестра индивидуальных предпринимателей (ЕГРИП);</w:t>
      </w:r>
    </w:p>
    <w:p w:rsidR="002E629F" w:rsidRPr="00BB2793" w:rsidRDefault="00C530C5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9F" w:rsidRPr="00BB2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29F" w:rsidRPr="00BB2793">
        <w:rPr>
          <w:rFonts w:ascii="Times New Roman" w:hAnsi="Times New Roman" w:cs="Times New Roman"/>
          <w:sz w:val="24"/>
          <w:szCs w:val="24"/>
        </w:rPr>
        <w:t>полученную</w:t>
      </w:r>
      <w:proofErr w:type="gramEnd"/>
      <w:r w:rsidR="002E629F" w:rsidRPr="00BB2793">
        <w:rPr>
          <w:rFonts w:ascii="Times New Roman" w:hAnsi="Times New Roman" w:cs="Times New Roman"/>
          <w:sz w:val="24"/>
          <w:szCs w:val="24"/>
        </w:rPr>
        <w:t xml:space="preserve"> из анонимных источников;</w:t>
      </w:r>
    </w:p>
    <w:p w:rsidR="002E629F" w:rsidRPr="00BB2793" w:rsidRDefault="00C530C5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9F" w:rsidRPr="00BB2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29F" w:rsidRPr="00BB2793">
        <w:rPr>
          <w:rFonts w:ascii="Times New Roman" w:hAnsi="Times New Roman" w:cs="Times New Roman"/>
          <w:sz w:val="24"/>
          <w:szCs w:val="24"/>
        </w:rPr>
        <w:t>содержащуюся</w:t>
      </w:r>
      <w:proofErr w:type="gramEnd"/>
      <w:r w:rsidR="002E629F" w:rsidRPr="00BB2793">
        <w:rPr>
          <w:rFonts w:ascii="Times New Roman" w:hAnsi="Times New Roman" w:cs="Times New Roman"/>
          <w:sz w:val="24"/>
          <w:szCs w:val="24"/>
        </w:rPr>
        <w:t xml:space="preserve"> в документах, полученных заказчиком по его запросам и не соответствующих требованиям, установленным заказчиком к содержанию таких документов;</w:t>
      </w:r>
    </w:p>
    <w:p w:rsidR="002E629F" w:rsidRPr="00BB2793" w:rsidRDefault="00C530C5" w:rsidP="00BB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9F" w:rsidRPr="00BB279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2E629F" w:rsidRPr="00BB2793">
        <w:rPr>
          <w:rFonts w:ascii="Times New Roman" w:hAnsi="Times New Roman" w:cs="Times New Roman"/>
          <w:sz w:val="24"/>
          <w:szCs w:val="24"/>
        </w:rPr>
        <w:t>содержащую</w:t>
      </w:r>
      <w:proofErr w:type="gramEnd"/>
      <w:r w:rsidR="002E629F" w:rsidRPr="00BB2793">
        <w:rPr>
          <w:rFonts w:ascii="Times New Roman" w:hAnsi="Times New Roman" w:cs="Times New Roman"/>
          <w:sz w:val="24"/>
          <w:szCs w:val="24"/>
        </w:rPr>
        <w:t xml:space="preserve"> расчет</w:t>
      </w:r>
      <w:r>
        <w:rPr>
          <w:rFonts w:ascii="Times New Roman" w:hAnsi="Times New Roman" w:cs="Times New Roman"/>
          <w:sz w:val="24"/>
          <w:szCs w:val="24"/>
        </w:rPr>
        <w:t xml:space="preserve"> (структуры)</w:t>
      </w:r>
      <w:r w:rsidR="002E629F" w:rsidRPr="00BB2793">
        <w:rPr>
          <w:rFonts w:ascii="Times New Roman" w:hAnsi="Times New Roman" w:cs="Times New Roman"/>
          <w:sz w:val="24"/>
          <w:szCs w:val="24"/>
        </w:rPr>
        <w:t xml:space="preserve"> цен товаров, работ, услуг.</w:t>
      </w:r>
    </w:p>
    <w:p w:rsidR="00DA6E83" w:rsidRPr="00DA6E83" w:rsidRDefault="00DA6E83" w:rsidP="0052511E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7FA4" w:rsidRPr="00A65D93" w:rsidRDefault="00C530C5" w:rsidP="00C530C5">
      <w:pPr>
        <w:shd w:val="clear" w:color="auto" w:fill="FFFFFF"/>
        <w:spacing w:after="0" w:line="240" w:lineRule="atLeast"/>
        <w:ind w:firstLine="53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 б</w:t>
      </w:r>
      <w:r w:rsidR="00ED7FA4" w:rsidRPr="00A6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рать 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основу расчетов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НМЦК </w:t>
      </w:r>
      <w:r w:rsidR="00ED7FA4" w:rsidRPr="00A6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 поставщиков, которые уже 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нельзя.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текущей экономической ситуации многие ранее действующие предприятия закрываются. Поэтому обязательно проверяйте, чтобы поставщик, который дал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коммерческое  предложение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работал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Представители ф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ансового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детально рассматрива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коммерческие предложения, которые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использованы для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НМЦК.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появляются </w:t>
      </w:r>
      <w:proofErr w:type="gramStart"/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контролер перепроверит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информацию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идическом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реестре,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сделает запрос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выяснит, отправлял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он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коммерческое предложение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манипуляции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коммерческими предложениями могут стоить дорого. Если контролеры обнаружат такой недочет заказчика, сделают вывод, что НМЦК рассчитано неверно.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уже нарушение закона.</w:t>
      </w:r>
    </w:p>
    <w:p w:rsidR="00674404" w:rsidRDefault="00C530C5" w:rsidP="00D271D3">
      <w:pPr>
        <w:shd w:val="clear" w:color="auto" w:fill="FFFFFF"/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например, з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 приобрел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инственного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 иллюстрационные материалы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таблицы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сумму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НМЦК использовал коммерческое предложение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ИП, который прекратил деятельность. Заказчик нарушил 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и 3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44-ФЗ. По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такому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 нельзя определить сопоставимость финансовых условий поставки товара с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закупки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FA4" w:rsidRPr="00A65D93" w:rsidRDefault="00ED7FA4" w:rsidP="00674404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2"/>
      <w:bookmarkStart w:id="4" w:name="6"/>
      <w:bookmarkEnd w:id="3"/>
      <w:bookmarkEnd w:id="4"/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Заказчики обязаны учитывать при расчете НМЦК сопоставимые условия поставки. 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16 статьи 22 Закона о контрактной системе к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оммерческие или финансовые условия поставок товаров, выполнения работ, оказания услуг признаются сопоставимыми, если различия между такими условиями не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существенного влияния на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 Частая ошибка заказчиков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запрашивать цены у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поставщиков, которые не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 деятельность на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аналогичном рынке. Контролеры обращают внимание на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нарушения и</w:t>
      </w:r>
      <w:r w:rsidR="0067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 расчет неверным.</w:t>
      </w:r>
    </w:p>
    <w:p w:rsidR="00ED7FA4" w:rsidRDefault="00674404" w:rsidP="00674404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о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 из заказчиков приобретал кулеры для воды.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расчета НМЦК использовал коммерческие предложения поставщиков, которые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поставляют такую продукцию. </w:t>
      </w:r>
      <w:proofErr w:type="gramStart"/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Проверяющие</w:t>
      </w:r>
      <w:proofErr w:type="gramEnd"/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выяснили, что ценовое предложение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кулеры подавала компания, которая занимается оптовой продажей безалкогольных напитков.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НМЦК завышено. Контролеры также указали, что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ближайшем магазине бытовой техники кулер стоит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FA4" w:rsidRPr="00A6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раза дешевле, чем закупил заказчик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4404" w:rsidRDefault="00674404" w:rsidP="00674404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обоснованностью НМЦК, ценой контракта, заключенного с единственным  поставщиком (подрядчиком, исполнителем) осуществляют органы внутреннего  государственного (муниципального) финансового контроля (часть 8 статьи 99 Закона № 44-ФЗ).</w:t>
      </w:r>
    </w:p>
    <w:p w:rsidR="00674404" w:rsidRDefault="00674404" w:rsidP="00D271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71D3">
        <w:rPr>
          <w:rFonts w:ascii="Times New Roman" w:hAnsi="Times New Roman" w:cs="Times New Roman"/>
          <w:sz w:val="24"/>
          <w:szCs w:val="24"/>
        </w:rPr>
        <w:t>Как уже говорилось выше, о</w:t>
      </w:r>
      <w:r>
        <w:rPr>
          <w:rFonts w:ascii="Times New Roman" w:hAnsi="Times New Roman" w:cs="Times New Roman"/>
          <w:sz w:val="24"/>
          <w:szCs w:val="24"/>
        </w:rPr>
        <w:t xml:space="preserve">тветственность за нарушения правил обоснования НМЦК предусмотрена </w:t>
      </w:r>
      <w:r w:rsidR="00347521">
        <w:rPr>
          <w:rFonts w:ascii="Times New Roman" w:hAnsi="Times New Roman" w:cs="Times New Roman"/>
          <w:sz w:val="24"/>
          <w:szCs w:val="24"/>
        </w:rPr>
        <w:t>«</w:t>
      </w:r>
      <w:r w:rsidR="00347521" w:rsidRPr="00347521">
        <w:rPr>
          <w:rFonts w:ascii="Times New Roman" w:hAnsi="Times New Roman" w:cs="Times New Roman"/>
          <w:sz w:val="24"/>
          <w:szCs w:val="24"/>
        </w:rPr>
        <w:t>Кодекс</w:t>
      </w:r>
      <w:r w:rsidR="00347521">
        <w:rPr>
          <w:rFonts w:ascii="Times New Roman" w:hAnsi="Times New Roman" w:cs="Times New Roman"/>
          <w:sz w:val="24"/>
          <w:szCs w:val="24"/>
        </w:rPr>
        <w:t>ом</w:t>
      </w:r>
      <w:r w:rsidR="00347521" w:rsidRPr="00347521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</w:t>
      </w:r>
      <w:r w:rsidR="00347521">
        <w:rPr>
          <w:rFonts w:ascii="Times New Roman" w:hAnsi="Times New Roman" w:cs="Times New Roman"/>
          <w:sz w:val="24"/>
          <w:szCs w:val="24"/>
        </w:rPr>
        <w:t>»</w:t>
      </w:r>
      <w:r w:rsidR="00347521" w:rsidRPr="00347521">
        <w:rPr>
          <w:rFonts w:ascii="Times New Roman" w:hAnsi="Times New Roman" w:cs="Times New Roman"/>
          <w:sz w:val="24"/>
          <w:szCs w:val="24"/>
        </w:rPr>
        <w:t xml:space="preserve"> от 30.12.2001 </w:t>
      </w:r>
      <w:r w:rsidR="00347521">
        <w:rPr>
          <w:rFonts w:ascii="Times New Roman" w:hAnsi="Times New Roman" w:cs="Times New Roman"/>
          <w:sz w:val="24"/>
          <w:szCs w:val="24"/>
        </w:rPr>
        <w:t>№</w:t>
      </w:r>
      <w:r w:rsidR="00347521" w:rsidRPr="00347521">
        <w:rPr>
          <w:rFonts w:ascii="Times New Roman" w:hAnsi="Times New Roman" w:cs="Times New Roman"/>
          <w:sz w:val="24"/>
          <w:szCs w:val="24"/>
        </w:rPr>
        <w:t xml:space="preserve"> 195-ФЗ</w:t>
      </w:r>
      <w:r w:rsidR="00347521">
        <w:rPr>
          <w:rFonts w:ascii="Times New Roman" w:hAnsi="Times New Roman" w:cs="Times New Roman"/>
          <w:sz w:val="24"/>
          <w:szCs w:val="24"/>
        </w:rPr>
        <w:t>.</w:t>
      </w:r>
      <w:r w:rsidR="00D27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521" w:rsidRDefault="00347521" w:rsidP="0034752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2D6DF3">
        <w:rPr>
          <w:rFonts w:ascii="Times New Roman" w:hAnsi="Times New Roman" w:cs="Times New Roman"/>
          <w:b/>
          <w:sz w:val="24"/>
          <w:szCs w:val="24"/>
        </w:rPr>
        <w:t>наиболее частых ошибок</w:t>
      </w:r>
      <w:r>
        <w:rPr>
          <w:rFonts w:ascii="Times New Roman" w:hAnsi="Times New Roman" w:cs="Times New Roman"/>
          <w:sz w:val="24"/>
          <w:szCs w:val="24"/>
        </w:rPr>
        <w:t xml:space="preserve">, выявленных представителями органов финансового контроля можно упомянуть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47521" w:rsidRPr="002D6DF3" w:rsidRDefault="002D6DF3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7521" w:rsidRPr="002D6DF3">
        <w:rPr>
          <w:rFonts w:ascii="Times New Roman" w:hAnsi="Times New Roman" w:cs="Times New Roman"/>
          <w:sz w:val="24"/>
          <w:szCs w:val="24"/>
        </w:rPr>
        <w:t xml:space="preserve">При проведении закупки извещение, размещенное в ЕИС, </w:t>
      </w:r>
      <w:r w:rsidR="00347521" w:rsidRPr="002D6DF3">
        <w:rPr>
          <w:rFonts w:ascii="Times New Roman" w:hAnsi="Times New Roman" w:cs="Times New Roman"/>
          <w:b/>
          <w:sz w:val="24"/>
          <w:szCs w:val="24"/>
        </w:rPr>
        <w:t>не содержит обоснование</w:t>
      </w:r>
      <w:r w:rsidR="00347521" w:rsidRPr="002D6DF3">
        <w:rPr>
          <w:rFonts w:ascii="Times New Roman" w:hAnsi="Times New Roman" w:cs="Times New Roman"/>
          <w:sz w:val="24"/>
          <w:szCs w:val="24"/>
        </w:rPr>
        <w:t xml:space="preserve"> НМЦК.</w:t>
      </w:r>
    </w:p>
    <w:p w:rsidR="00347521" w:rsidRDefault="002D6DF3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47521" w:rsidRPr="002D6DF3">
        <w:rPr>
          <w:rFonts w:ascii="Times New Roman" w:hAnsi="Times New Roman" w:cs="Times New Roman"/>
          <w:sz w:val="24"/>
          <w:szCs w:val="24"/>
        </w:rPr>
        <w:t xml:space="preserve">Если при обосновании </w:t>
      </w:r>
      <w:r w:rsidR="00630420" w:rsidRPr="002D6DF3">
        <w:rPr>
          <w:rFonts w:ascii="Times New Roman" w:hAnsi="Times New Roman" w:cs="Times New Roman"/>
          <w:sz w:val="24"/>
          <w:szCs w:val="24"/>
        </w:rPr>
        <w:t>НМЦК</w:t>
      </w:r>
      <w:r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 </w:t>
      </w:r>
      <w:r w:rsidR="00630420" w:rsidRPr="002D6DF3">
        <w:rPr>
          <w:rFonts w:ascii="Times New Roman" w:hAnsi="Times New Roman" w:cs="Times New Roman"/>
          <w:b/>
          <w:sz w:val="24"/>
          <w:szCs w:val="24"/>
        </w:rPr>
        <w:t>не использовалась общедоступная информация</w:t>
      </w:r>
      <w:r w:rsidR="00630420" w:rsidRPr="002D6DF3">
        <w:rPr>
          <w:rFonts w:ascii="Times New Roman" w:hAnsi="Times New Roman" w:cs="Times New Roman"/>
          <w:sz w:val="24"/>
          <w:szCs w:val="24"/>
        </w:rPr>
        <w:t xml:space="preserve"> (в соответствии с частью 5 статьи 22 Закона № 44-ФЗ общедоступная информация </w:t>
      </w:r>
      <w:r w:rsidRPr="002D6DF3">
        <w:rPr>
          <w:rFonts w:ascii="Times New Roman" w:hAnsi="Times New Roman" w:cs="Times New Roman"/>
          <w:sz w:val="24"/>
          <w:szCs w:val="24"/>
        </w:rPr>
        <w:t>о рыночных ценах товаров, работ, услуг должна быть всегда, оговорка «</w:t>
      </w:r>
      <w:r w:rsidR="00630420" w:rsidRPr="002D6DF3">
        <w:rPr>
          <w:rFonts w:ascii="Times New Roman" w:hAnsi="Times New Roman" w:cs="Times New Roman"/>
          <w:sz w:val="24"/>
          <w:szCs w:val="24"/>
        </w:rPr>
        <w:t>в случае получе</w:t>
      </w:r>
      <w:r w:rsidRPr="002D6DF3">
        <w:rPr>
          <w:rFonts w:ascii="Times New Roman" w:hAnsi="Times New Roman" w:cs="Times New Roman"/>
          <w:sz w:val="24"/>
          <w:szCs w:val="24"/>
        </w:rPr>
        <w:t>ния такой информации заказчиком» в отношении этого источника отсутствует.</w:t>
      </w:r>
      <w:proofErr w:type="gramEnd"/>
      <w:r w:rsidRPr="002D6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DF3">
        <w:rPr>
          <w:rFonts w:ascii="Times New Roman" w:hAnsi="Times New Roman" w:cs="Times New Roman"/>
          <w:sz w:val="24"/>
          <w:szCs w:val="24"/>
        </w:rPr>
        <w:t xml:space="preserve">Поэтому, </w:t>
      </w:r>
      <w:r>
        <w:rPr>
          <w:rFonts w:ascii="Times New Roman" w:hAnsi="Times New Roman" w:cs="Times New Roman"/>
          <w:sz w:val="24"/>
          <w:szCs w:val="24"/>
        </w:rPr>
        <w:t>как минимум, информация по одному из пунктов части 18 статьи 22 Закона о контрактной системе должна быть в Обосновании НМЦК).</w:t>
      </w:r>
      <w:proofErr w:type="gramEnd"/>
    </w:p>
    <w:p w:rsidR="002D6DF3" w:rsidRDefault="002D6DF3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D6DF3">
        <w:rPr>
          <w:rFonts w:ascii="Times New Roman" w:hAnsi="Times New Roman" w:cs="Times New Roman"/>
          <w:sz w:val="24"/>
          <w:szCs w:val="24"/>
        </w:rPr>
        <w:t>Если при обосновании НМЦК</w:t>
      </w:r>
      <w:r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 были приняты коммерческие предложения, </w:t>
      </w:r>
      <w:r w:rsidRPr="002C7EA9">
        <w:rPr>
          <w:rFonts w:ascii="Times New Roman" w:hAnsi="Times New Roman" w:cs="Times New Roman"/>
          <w:b/>
          <w:sz w:val="24"/>
          <w:szCs w:val="24"/>
        </w:rPr>
        <w:t>содержащие несопоставимые условия поставки</w:t>
      </w:r>
      <w:r>
        <w:rPr>
          <w:rFonts w:ascii="Times New Roman" w:hAnsi="Times New Roman" w:cs="Times New Roman"/>
          <w:sz w:val="24"/>
          <w:szCs w:val="24"/>
        </w:rPr>
        <w:t>. Например</w:t>
      </w:r>
      <w:r w:rsidR="002C7E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КП срок поставки  - в течение месяца,  а в Техническом задании – в течение 2 рабочих дней.</w:t>
      </w:r>
    </w:p>
    <w:p w:rsidR="002D6DF3" w:rsidRDefault="002C7EA9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D6DF3">
        <w:rPr>
          <w:rFonts w:ascii="Times New Roman" w:hAnsi="Times New Roman" w:cs="Times New Roman"/>
          <w:sz w:val="24"/>
          <w:szCs w:val="24"/>
        </w:rPr>
        <w:t>Если при обосновании НМЦК</w:t>
      </w:r>
      <w:r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 использовалась общедоступная информация в виде цен контрактов, размещенных в ЕИС. При этом контракты на момент обоснования НМЦК не </w:t>
      </w:r>
      <w:r w:rsidRPr="002C7EA9">
        <w:rPr>
          <w:rFonts w:ascii="Times New Roman" w:hAnsi="Times New Roman" w:cs="Times New Roman"/>
          <w:sz w:val="24"/>
          <w:szCs w:val="24"/>
        </w:rPr>
        <w:t>исполнены</w:t>
      </w:r>
      <w:r>
        <w:rPr>
          <w:rFonts w:ascii="Times New Roman" w:hAnsi="Times New Roman" w:cs="Times New Roman"/>
          <w:sz w:val="24"/>
          <w:szCs w:val="24"/>
        </w:rPr>
        <w:t xml:space="preserve">, в ЕИС размещены требования о взыскании </w:t>
      </w:r>
      <w:r w:rsidRPr="002C7EA9">
        <w:rPr>
          <w:rFonts w:ascii="Times New Roman" w:hAnsi="Times New Roman" w:cs="Times New Roman"/>
          <w:sz w:val="24"/>
          <w:szCs w:val="24"/>
        </w:rPr>
        <w:t xml:space="preserve"> </w:t>
      </w:r>
      <w:r w:rsidR="00EE5904">
        <w:rPr>
          <w:rFonts w:ascii="Times New Roman" w:hAnsi="Times New Roman" w:cs="Times New Roman"/>
          <w:sz w:val="24"/>
          <w:szCs w:val="24"/>
        </w:rPr>
        <w:t xml:space="preserve">по ним </w:t>
      </w:r>
      <w:r w:rsidRPr="002C7EA9">
        <w:rPr>
          <w:rFonts w:ascii="Times New Roman" w:hAnsi="Times New Roman" w:cs="Times New Roman"/>
          <w:sz w:val="24"/>
          <w:szCs w:val="24"/>
        </w:rPr>
        <w:t>неустойки (штрафы, пени) в связи с неисполнением или ненадлежащим исполнением обязательств, предусмотренных этими контрактами</w:t>
      </w:r>
      <w:r w:rsidR="00EE5904">
        <w:rPr>
          <w:rFonts w:ascii="Times New Roman" w:hAnsi="Times New Roman" w:cs="Times New Roman"/>
          <w:sz w:val="24"/>
          <w:szCs w:val="24"/>
        </w:rPr>
        <w:t>.</w:t>
      </w:r>
    </w:p>
    <w:p w:rsidR="009F3FF0" w:rsidRDefault="009F3FF0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D6DF3">
        <w:rPr>
          <w:rFonts w:ascii="Times New Roman" w:hAnsi="Times New Roman" w:cs="Times New Roman"/>
          <w:sz w:val="24"/>
          <w:szCs w:val="24"/>
        </w:rPr>
        <w:t>Если при обосновании НМЦК</w:t>
      </w:r>
      <w:r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 для расчета НМЦК использовалось несколько коммерческих предложений от одного лица (один ИНН), аффилированных лиц, лиц, не являющихся участником рынка.</w:t>
      </w:r>
    </w:p>
    <w:p w:rsidR="009F3FF0" w:rsidRDefault="009F3FF0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D6DF3">
        <w:rPr>
          <w:rFonts w:ascii="Times New Roman" w:hAnsi="Times New Roman" w:cs="Times New Roman"/>
          <w:sz w:val="24"/>
          <w:szCs w:val="24"/>
        </w:rPr>
        <w:t>Если при обосновании НМЦК</w:t>
      </w:r>
      <w:r>
        <w:rPr>
          <w:rFonts w:ascii="Times New Roman" w:hAnsi="Times New Roman" w:cs="Times New Roman"/>
          <w:sz w:val="24"/>
          <w:szCs w:val="24"/>
        </w:rPr>
        <w:t xml:space="preserve"> методом сопоставимых рыночных цен для расчета НМЦК использовались коммерческие предложения с истекшим сроком действия.</w:t>
      </w:r>
    </w:p>
    <w:p w:rsidR="009F3FF0" w:rsidRDefault="009F3FF0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Выявлено завышение цены (не включены налоги, неправильно использованы индексы-дефляторы, коэффициенты пересчета, превышены предельные цены).</w:t>
      </w:r>
    </w:p>
    <w:p w:rsidR="009F3FF0" w:rsidRDefault="009F3FF0" w:rsidP="002D6D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Применение не того метода. Например, при проведении закупки на выполнение работ по строительству объекта капитального строительства вместо проектно-сметного метода использован метод сопоставимых рыночных цен (анализ рынка).</w:t>
      </w:r>
      <w:r w:rsidR="00D271D3">
        <w:rPr>
          <w:rFonts w:ascii="Times New Roman" w:hAnsi="Times New Roman" w:cs="Times New Roman"/>
          <w:sz w:val="24"/>
          <w:szCs w:val="24"/>
        </w:rPr>
        <w:t xml:space="preserve"> Или при обосновании цены контракта на оказание услуг связи </w:t>
      </w:r>
      <w:r w:rsidR="00D271D3" w:rsidRPr="00D271D3">
        <w:rPr>
          <w:rFonts w:ascii="Times New Roman" w:hAnsi="Times New Roman" w:cs="Times New Roman"/>
          <w:sz w:val="24"/>
          <w:szCs w:val="24"/>
        </w:rPr>
        <w:t>ПАО «Ростелеком»</w:t>
      </w:r>
      <w:r w:rsidR="00D271D3">
        <w:rPr>
          <w:rFonts w:ascii="Times New Roman" w:hAnsi="Times New Roman" w:cs="Times New Roman"/>
          <w:sz w:val="24"/>
          <w:szCs w:val="24"/>
        </w:rPr>
        <w:t xml:space="preserve"> вместо иного мет</w:t>
      </w:r>
      <w:bookmarkStart w:id="5" w:name="_GoBack"/>
      <w:bookmarkEnd w:id="5"/>
      <w:r w:rsidR="00D271D3">
        <w:rPr>
          <w:rFonts w:ascii="Times New Roman" w:hAnsi="Times New Roman" w:cs="Times New Roman"/>
          <w:sz w:val="24"/>
          <w:szCs w:val="24"/>
        </w:rPr>
        <w:t>ода использовался тарифный метод.</w:t>
      </w:r>
    </w:p>
    <w:p w:rsidR="009F3FF0" w:rsidRDefault="009F3FF0" w:rsidP="00767BE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Отсутствие обоснования применения иного метода.</w:t>
      </w:r>
      <w:r w:rsidR="00767BE5">
        <w:rPr>
          <w:rFonts w:ascii="Times New Roman" w:hAnsi="Times New Roman" w:cs="Times New Roman"/>
          <w:sz w:val="24"/>
          <w:szCs w:val="24"/>
        </w:rPr>
        <w:t xml:space="preserve"> Например, обоснование НМЦК охранных услуг не содержит ссылку на </w:t>
      </w:r>
      <w:r w:rsidR="00767BE5" w:rsidRPr="00767BE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767BE5" w:rsidRPr="00767BE5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767BE5" w:rsidRPr="00767BE5">
        <w:rPr>
          <w:rFonts w:ascii="Times New Roman" w:hAnsi="Times New Roman" w:cs="Times New Roman"/>
          <w:sz w:val="24"/>
          <w:szCs w:val="24"/>
        </w:rPr>
        <w:t xml:space="preserve"> от 15.02.2021 </w:t>
      </w:r>
      <w:r w:rsidR="00767BE5">
        <w:rPr>
          <w:rFonts w:ascii="Times New Roman" w:hAnsi="Times New Roman" w:cs="Times New Roman"/>
          <w:sz w:val="24"/>
          <w:szCs w:val="24"/>
        </w:rPr>
        <w:t>№</w:t>
      </w:r>
      <w:r w:rsidR="00767BE5" w:rsidRPr="00767BE5">
        <w:rPr>
          <w:rFonts w:ascii="Times New Roman" w:hAnsi="Times New Roman" w:cs="Times New Roman"/>
          <w:sz w:val="24"/>
          <w:szCs w:val="24"/>
        </w:rPr>
        <w:t xml:space="preserve"> 45</w:t>
      </w:r>
      <w:r w:rsidR="00767BE5">
        <w:rPr>
          <w:rFonts w:ascii="Times New Roman" w:hAnsi="Times New Roman" w:cs="Times New Roman"/>
          <w:sz w:val="24"/>
          <w:szCs w:val="24"/>
        </w:rPr>
        <w:t xml:space="preserve"> «</w:t>
      </w:r>
      <w:r w:rsidR="00767BE5" w:rsidRPr="00767BE5">
        <w:rPr>
          <w:rFonts w:ascii="Times New Roman" w:hAnsi="Times New Roman" w:cs="Times New Roman"/>
          <w:sz w:val="24"/>
          <w:szCs w:val="24"/>
        </w:rPr>
        <w:t xml:space="preserve">Об утверждении Порядка определения начальной (максимальной) цены контракта, цены контракта, </w:t>
      </w:r>
      <w:r w:rsidR="00767BE5" w:rsidRPr="00767BE5">
        <w:rPr>
          <w:rFonts w:ascii="Times New Roman" w:hAnsi="Times New Roman" w:cs="Times New Roman"/>
          <w:sz w:val="24"/>
          <w:szCs w:val="24"/>
        </w:rPr>
        <w:lastRenderedPageBreak/>
        <w:t>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</w:t>
      </w:r>
      <w:r w:rsidR="00767BE5">
        <w:rPr>
          <w:rFonts w:ascii="Times New Roman" w:hAnsi="Times New Roman" w:cs="Times New Roman"/>
          <w:sz w:val="24"/>
          <w:szCs w:val="24"/>
        </w:rPr>
        <w:t>» и указание, что обосновании НМЦК выполнено иным методом.</w:t>
      </w:r>
    </w:p>
    <w:p w:rsidR="00767BE5" w:rsidRPr="002D6DF3" w:rsidRDefault="00767BE5" w:rsidP="00767BE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67BE5" w:rsidRPr="002D6DF3" w:rsidSect="004522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9CE"/>
    <w:multiLevelType w:val="hybridMultilevel"/>
    <w:tmpl w:val="39B8D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70536"/>
    <w:multiLevelType w:val="hybridMultilevel"/>
    <w:tmpl w:val="2A6618F0"/>
    <w:lvl w:ilvl="0" w:tplc="0F381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AB"/>
    <w:rsid w:val="00025BEE"/>
    <w:rsid w:val="000A38CA"/>
    <w:rsid w:val="000D5752"/>
    <w:rsid w:val="0010106E"/>
    <w:rsid w:val="001E74C5"/>
    <w:rsid w:val="00242E7F"/>
    <w:rsid w:val="00245B73"/>
    <w:rsid w:val="00267EB7"/>
    <w:rsid w:val="00273471"/>
    <w:rsid w:val="002C7EA9"/>
    <w:rsid w:val="002D6DF3"/>
    <w:rsid w:val="002E629F"/>
    <w:rsid w:val="003367EC"/>
    <w:rsid w:val="00347521"/>
    <w:rsid w:val="00367DAC"/>
    <w:rsid w:val="00374DAA"/>
    <w:rsid w:val="0038388F"/>
    <w:rsid w:val="003F1FE7"/>
    <w:rsid w:val="003F5A5F"/>
    <w:rsid w:val="004036C1"/>
    <w:rsid w:val="004316C5"/>
    <w:rsid w:val="00445E87"/>
    <w:rsid w:val="00451F6A"/>
    <w:rsid w:val="004522CF"/>
    <w:rsid w:val="00467D23"/>
    <w:rsid w:val="0052511E"/>
    <w:rsid w:val="00580FE6"/>
    <w:rsid w:val="00597B5C"/>
    <w:rsid w:val="005C15E2"/>
    <w:rsid w:val="005D4858"/>
    <w:rsid w:val="005E45A0"/>
    <w:rsid w:val="005F01D2"/>
    <w:rsid w:val="006257B6"/>
    <w:rsid w:val="00630420"/>
    <w:rsid w:val="00674404"/>
    <w:rsid w:val="007130CB"/>
    <w:rsid w:val="00732373"/>
    <w:rsid w:val="00767BE5"/>
    <w:rsid w:val="007851EB"/>
    <w:rsid w:val="00787F69"/>
    <w:rsid w:val="00891A93"/>
    <w:rsid w:val="008923A5"/>
    <w:rsid w:val="008A5895"/>
    <w:rsid w:val="009425D3"/>
    <w:rsid w:val="00952129"/>
    <w:rsid w:val="009F3FF0"/>
    <w:rsid w:val="00A65D93"/>
    <w:rsid w:val="00AA1BE3"/>
    <w:rsid w:val="00AD4B94"/>
    <w:rsid w:val="00B123E7"/>
    <w:rsid w:val="00B84FC3"/>
    <w:rsid w:val="00BB2793"/>
    <w:rsid w:val="00BC0ACE"/>
    <w:rsid w:val="00BC6FB6"/>
    <w:rsid w:val="00C10916"/>
    <w:rsid w:val="00C530C5"/>
    <w:rsid w:val="00C76834"/>
    <w:rsid w:val="00C77CC6"/>
    <w:rsid w:val="00CA596E"/>
    <w:rsid w:val="00D271D3"/>
    <w:rsid w:val="00D30902"/>
    <w:rsid w:val="00D3652B"/>
    <w:rsid w:val="00D869EB"/>
    <w:rsid w:val="00DA6E83"/>
    <w:rsid w:val="00DB71F5"/>
    <w:rsid w:val="00DD508C"/>
    <w:rsid w:val="00DD6321"/>
    <w:rsid w:val="00E25811"/>
    <w:rsid w:val="00EB134D"/>
    <w:rsid w:val="00ED73AB"/>
    <w:rsid w:val="00ED7FA4"/>
    <w:rsid w:val="00EE5904"/>
    <w:rsid w:val="00F35307"/>
    <w:rsid w:val="00F507C1"/>
    <w:rsid w:val="00F82C6B"/>
    <w:rsid w:val="00F842FA"/>
    <w:rsid w:val="00F9296E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7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7F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F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ED7FA4"/>
  </w:style>
  <w:style w:type="character" w:styleId="a4">
    <w:name w:val="Hyperlink"/>
    <w:basedOn w:val="a0"/>
    <w:uiPriority w:val="99"/>
    <w:unhideWhenUsed/>
    <w:rsid w:val="00ED7FA4"/>
    <w:rPr>
      <w:color w:val="0000FF"/>
      <w:u w:val="single"/>
    </w:rPr>
  </w:style>
  <w:style w:type="character" w:customStyle="1" w:styleId="red">
    <w:name w:val="red"/>
    <w:basedOn w:val="a0"/>
    <w:rsid w:val="00ED7FA4"/>
  </w:style>
  <w:style w:type="paragraph" w:styleId="a5">
    <w:name w:val="Balloon Text"/>
    <w:basedOn w:val="a"/>
    <w:link w:val="a6"/>
    <w:uiPriority w:val="99"/>
    <w:semiHidden/>
    <w:unhideWhenUsed/>
    <w:rsid w:val="00ED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F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2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7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7F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F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ED7FA4"/>
  </w:style>
  <w:style w:type="character" w:styleId="a4">
    <w:name w:val="Hyperlink"/>
    <w:basedOn w:val="a0"/>
    <w:uiPriority w:val="99"/>
    <w:unhideWhenUsed/>
    <w:rsid w:val="00ED7FA4"/>
    <w:rPr>
      <w:color w:val="0000FF"/>
      <w:u w:val="single"/>
    </w:rPr>
  </w:style>
  <w:style w:type="character" w:customStyle="1" w:styleId="red">
    <w:name w:val="red"/>
    <w:basedOn w:val="a0"/>
    <w:rsid w:val="00ED7FA4"/>
  </w:style>
  <w:style w:type="paragraph" w:styleId="a5">
    <w:name w:val="Balloon Text"/>
    <w:basedOn w:val="a"/>
    <w:link w:val="a6"/>
    <w:uiPriority w:val="99"/>
    <w:semiHidden/>
    <w:unhideWhenUsed/>
    <w:rsid w:val="00ED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F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66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87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0023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5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47556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347907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3273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5270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6031">
              <w:marLeft w:val="0"/>
              <w:marRight w:val="405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08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913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08861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1048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22507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7228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32022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7591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46784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97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goszakaz.ru/media/site_platform_media/2024/3/26/rekomenduemyij-zapros-tsen-na-postavku-tovaro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11</Pages>
  <Words>5319</Words>
  <Characters>30322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Юля Долуденко</cp:lastModifiedBy>
  <cp:revision>65</cp:revision>
  <dcterms:created xsi:type="dcterms:W3CDTF">2024-05-27T14:17:00Z</dcterms:created>
  <dcterms:modified xsi:type="dcterms:W3CDTF">2024-06-04T11:33:00Z</dcterms:modified>
</cp:coreProperties>
</file>